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55C" w14:textId="549BBFE4" w:rsidR="00CF6311" w:rsidRPr="00455E85" w:rsidRDefault="00CF6311" w:rsidP="00455E85">
      <w:pPr>
        <w:pStyle w:val="BodyText"/>
      </w:pPr>
    </w:p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1E161D">
      <w:pPr>
        <w:pStyle w:val="DocumentTitle"/>
      </w:pPr>
      <w:r>
        <w:t>Bibliography</w:t>
      </w:r>
    </w:p>
    <w:p w14:paraId="251AD625" w14:textId="0B3C25F0" w:rsidR="00592275" w:rsidRPr="002113C1" w:rsidRDefault="0410ABDC" w:rsidP="00C75F33">
      <w:pPr>
        <w:pStyle w:val="Heading1"/>
      </w:pPr>
      <w:r>
        <w:t>Early Support</w:t>
      </w:r>
      <w:r w:rsidR="00783869">
        <w:t xml:space="preserve"> domain</w:t>
      </w:r>
    </w:p>
    <w:p w14:paraId="4DC2AA31" w14:textId="42957FC6" w:rsidR="26160C38" w:rsidRDefault="0F08D9FB" w:rsidP="3E47722D">
      <w:pPr>
        <w:pStyle w:val="Heading2"/>
        <w:rPr>
          <w:b/>
          <w:bCs/>
        </w:rPr>
      </w:pPr>
      <w:r w:rsidRPr="3E47722D">
        <w:rPr>
          <w:b/>
          <w:bCs/>
        </w:rPr>
        <w:t xml:space="preserve">Inquire sensitively about </w:t>
      </w:r>
      <w:r w:rsidR="7CF6E6A1" w:rsidRPr="3E47722D">
        <w:rPr>
          <w:b/>
          <w:bCs/>
        </w:rPr>
        <w:t>the</w:t>
      </w:r>
      <w:r w:rsidRPr="3E47722D">
        <w:rPr>
          <w:b/>
          <w:bCs/>
        </w:rPr>
        <w:t xml:space="preserve"> child or young person’s </w:t>
      </w:r>
      <w:proofErr w:type="gramStart"/>
      <w:r w:rsidRPr="3E47722D">
        <w:rPr>
          <w:b/>
          <w:bCs/>
        </w:rPr>
        <w:t>circumstances</w:t>
      </w:r>
      <w:proofErr w:type="gramEnd"/>
    </w:p>
    <w:p w14:paraId="7BC0F9EE" w14:textId="5C3D8736" w:rsidR="26160C38" w:rsidRDefault="33BB354F" w:rsidP="3E47722D">
      <w:pPr>
        <w:spacing w:line="240" w:lineRule="auto"/>
        <w:rPr>
          <w:rFonts w:eastAsiaTheme="minorEastAsia"/>
          <w:sz w:val="22"/>
        </w:rPr>
      </w:pPr>
      <w:r w:rsidRPr="3E47722D">
        <w:rPr>
          <w:rFonts w:eastAsiaTheme="minorEastAsia"/>
          <w:color w:val="212121"/>
          <w:sz w:val="22"/>
        </w:rPr>
        <w:t xml:space="preserve">Carter, A. S., Briggs-Gowan, M. J., &amp; Davis, N. O. (2004). Assessment of young children's social-emotional development and psychopathology: recent advances and recommendations for practice. </w:t>
      </w:r>
      <w:r w:rsidRPr="3E47722D">
        <w:rPr>
          <w:rFonts w:eastAsiaTheme="minorEastAsia"/>
          <w:i/>
          <w:iCs/>
          <w:color w:val="212121"/>
          <w:sz w:val="22"/>
        </w:rPr>
        <w:t>Journal of child psychology and psychiatry, and allied disciplines</w:t>
      </w:r>
      <w:r w:rsidRPr="3E47722D">
        <w:rPr>
          <w:rFonts w:eastAsiaTheme="minorEastAsia"/>
          <w:color w:val="212121"/>
          <w:sz w:val="22"/>
        </w:rPr>
        <w:t xml:space="preserve">, </w:t>
      </w:r>
      <w:r w:rsidRPr="3E47722D">
        <w:rPr>
          <w:rFonts w:eastAsiaTheme="minorEastAsia"/>
          <w:i/>
          <w:iCs/>
          <w:color w:val="212121"/>
          <w:sz w:val="22"/>
        </w:rPr>
        <w:t>45</w:t>
      </w:r>
      <w:r w:rsidRPr="3E47722D">
        <w:rPr>
          <w:rFonts w:eastAsiaTheme="minorEastAsia"/>
          <w:color w:val="212121"/>
          <w:sz w:val="22"/>
        </w:rPr>
        <w:t xml:space="preserve">(1), 109–134. </w:t>
      </w:r>
      <w:hyperlink r:id="rId13">
        <w:r w:rsidRPr="3E47722D">
          <w:rPr>
            <w:rStyle w:val="Hyperlink"/>
            <w:rFonts w:eastAsiaTheme="minorEastAsia"/>
            <w:sz w:val="22"/>
          </w:rPr>
          <w:t>https://doi.org/10.1046/j.0021-9630.2003.00316.x</w:t>
        </w:r>
      </w:hyperlink>
    </w:p>
    <w:p w14:paraId="398897F2" w14:textId="1AC42608" w:rsidR="26160C38" w:rsidRDefault="5C43F21D" w:rsidP="3E47722D">
      <w:pPr>
        <w:spacing w:line="240" w:lineRule="auto"/>
        <w:rPr>
          <w:rFonts w:eastAsiaTheme="minorEastAsia"/>
          <w:color w:val="404041"/>
          <w:sz w:val="22"/>
        </w:rPr>
      </w:pPr>
      <w:r w:rsidRPr="3E47722D">
        <w:rPr>
          <w:rFonts w:eastAsiaTheme="minorEastAsia"/>
          <w:color w:val="404041"/>
          <w:sz w:val="22"/>
        </w:rPr>
        <w:t xml:space="preserve">Commonwealth of Australia. (2011). </w:t>
      </w:r>
      <w:proofErr w:type="spellStart"/>
      <w:r w:rsidRPr="3E47722D">
        <w:rPr>
          <w:rFonts w:eastAsiaTheme="minorEastAsia"/>
          <w:i/>
          <w:iCs/>
          <w:color w:val="404041"/>
          <w:sz w:val="22"/>
        </w:rPr>
        <w:t>KidsMatter</w:t>
      </w:r>
      <w:proofErr w:type="spellEnd"/>
      <w:r w:rsidRPr="3E47722D">
        <w:rPr>
          <w:rFonts w:eastAsiaTheme="minorEastAsia"/>
          <w:i/>
          <w:iCs/>
          <w:color w:val="404041"/>
          <w:sz w:val="22"/>
        </w:rPr>
        <w:t xml:space="preserve"> Early Childhood Component Book 3</w:t>
      </w:r>
      <w:r w:rsidRPr="3E47722D">
        <w:rPr>
          <w:rFonts w:eastAsiaTheme="minorEastAsia"/>
          <w:color w:val="404041"/>
          <w:sz w:val="22"/>
        </w:rPr>
        <w:t>. Adapted from</w:t>
      </w:r>
      <w:r w:rsidRPr="3E47722D">
        <w:rPr>
          <w:rFonts w:eastAsiaTheme="minorEastAsia"/>
          <w:i/>
          <w:iCs/>
          <w:color w:val="404041"/>
          <w:sz w:val="22"/>
        </w:rPr>
        <w:t xml:space="preserve"> </w:t>
      </w:r>
      <w:r w:rsidRPr="3E47722D">
        <w:rPr>
          <w:rFonts w:eastAsiaTheme="minorEastAsia"/>
          <w:color w:val="404041"/>
          <w:sz w:val="22"/>
        </w:rPr>
        <w:t xml:space="preserve">Petersen, L. &amp; Adderley, A. (2002) </w:t>
      </w:r>
      <w:r w:rsidRPr="3E47722D">
        <w:rPr>
          <w:rFonts w:eastAsiaTheme="minorEastAsia"/>
          <w:i/>
          <w:iCs/>
          <w:color w:val="404041"/>
          <w:sz w:val="22"/>
        </w:rPr>
        <w:t>STOP, THINK, DO, social training skills: Early Years of Schooling 4-8</w:t>
      </w:r>
      <w:r w:rsidRPr="3E47722D">
        <w:rPr>
          <w:rFonts w:eastAsiaTheme="minorEastAsia"/>
          <w:color w:val="404041"/>
          <w:sz w:val="22"/>
        </w:rPr>
        <w:t xml:space="preserve">. Melbourne. ACER Press.    </w:t>
      </w:r>
    </w:p>
    <w:p w14:paraId="344D8E57" w14:textId="13CB8C92" w:rsidR="26160C38" w:rsidRDefault="20EB6AA2" w:rsidP="14BBAF25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14BBAF25">
        <w:rPr>
          <w:rFonts w:eastAsiaTheme="minorEastAsia"/>
          <w:color w:val="333333"/>
          <w:sz w:val="22"/>
        </w:rPr>
        <w:t>Cook C.R., Coco S</w:t>
      </w:r>
      <w:r w:rsidR="0387B7ED" w:rsidRPr="14BBAF25">
        <w:rPr>
          <w:rFonts w:eastAsiaTheme="minorEastAsia"/>
          <w:color w:val="333333"/>
          <w:sz w:val="22"/>
        </w:rPr>
        <w:t>.</w:t>
      </w:r>
      <w:r w:rsidRPr="14BBAF25">
        <w:rPr>
          <w:rFonts w:eastAsiaTheme="minorEastAsia"/>
          <w:color w:val="333333"/>
          <w:sz w:val="22"/>
        </w:rPr>
        <w:t>, Zhang Y</w:t>
      </w:r>
      <w:r w:rsidR="3B1591AF" w:rsidRPr="14BBAF25">
        <w:rPr>
          <w:rFonts w:eastAsiaTheme="minorEastAsia"/>
          <w:color w:val="333333"/>
          <w:sz w:val="22"/>
        </w:rPr>
        <w:t>.</w:t>
      </w:r>
      <w:r w:rsidRPr="14BBAF25">
        <w:rPr>
          <w:rFonts w:eastAsiaTheme="minorEastAsia"/>
          <w:color w:val="333333"/>
          <w:sz w:val="22"/>
        </w:rPr>
        <w:t>, Fiat A.E., Duong M. T., Renshaw T.L., et al. (2018) Cultivating Positive Teacher– Student Relationships: Preliminary Evaluation of the Establish–Maintain–Restore (EMR) Method.</w:t>
      </w:r>
      <w:r w:rsidRPr="14BBAF25">
        <w:rPr>
          <w:rFonts w:eastAsiaTheme="minorEastAsia"/>
          <w:i/>
          <w:iCs/>
          <w:color w:val="333333"/>
          <w:sz w:val="22"/>
        </w:rPr>
        <w:t xml:space="preserve"> School Psychology Review.</w:t>
      </w:r>
      <w:r w:rsidRPr="14BBAF25">
        <w:rPr>
          <w:rFonts w:eastAsiaTheme="minorEastAsia"/>
          <w:color w:val="333333"/>
          <w:sz w:val="22"/>
        </w:rPr>
        <w:t xml:space="preserve"> 47(3):226-43.</w:t>
      </w:r>
      <w:r w:rsidR="1053BC21" w:rsidRPr="14BBAF25">
        <w:rPr>
          <w:rFonts w:eastAsiaTheme="minorEastAsia"/>
          <w:color w:val="333333"/>
          <w:sz w:val="22"/>
        </w:rPr>
        <w:t xml:space="preserve"> </w:t>
      </w:r>
      <w:hyperlink r:id="rId14">
        <w:r w:rsidR="1053BC21" w:rsidRPr="14BBAF25">
          <w:rPr>
            <w:rStyle w:val="Hyperlink"/>
            <w:rFonts w:ascii="Roboto" w:eastAsia="Roboto" w:hAnsi="Roboto" w:cs="Roboto"/>
            <w:color w:val="23527C"/>
            <w:sz w:val="21"/>
            <w:szCs w:val="21"/>
          </w:rPr>
          <w:t>h</w:t>
        </w:r>
        <w:r w:rsidR="1053BC21" w:rsidRPr="14BBAF25">
          <w:rPr>
            <w:rStyle w:val="Hyperlink"/>
            <w:rFonts w:ascii="Roboto" w:eastAsia="Roboto" w:hAnsi="Roboto" w:cs="Roboto"/>
            <w:color w:val="23527C"/>
            <w:sz w:val="22"/>
          </w:rPr>
          <w:t>ttps://doi.org/10.17105/SPR-2017-0025.V47-3</w:t>
        </w:r>
      </w:hyperlink>
    </w:p>
    <w:p w14:paraId="43F7ED5C" w14:textId="79A2A458" w:rsidR="26160C38" w:rsidRDefault="26160C38" w:rsidP="14BBAF25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color w:val="23527C"/>
          <w:sz w:val="21"/>
          <w:szCs w:val="21"/>
          <w:u w:val="single"/>
        </w:rPr>
      </w:pPr>
    </w:p>
    <w:p w14:paraId="7B9E3F3B" w14:textId="50CD6F80" w:rsidR="26160C38" w:rsidRDefault="3535356F" w:rsidP="14BBAF25">
      <w:pPr>
        <w:shd w:val="clear" w:color="auto" w:fill="FFFFFF" w:themeFill="background2"/>
        <w:spacing w:after="0" w:line="240" w:lineRule="auto"/>
        <w:rPr>
          <w:rFonts w:ascii="Open Sans" w:eastAsia="Open Sans" w:hAnsi="Open Sans" w:cs="Open Sans"/>
          <w:szCs w:val="20"/>
        </w:rPr>
      </w:pPr>
      <w:r w:rsidRPr="14BBAF25">
        <w:rPr>
          <w:rFonts w:eastAsiaTheme="minorEastAsia"/>
          <w:sz w:val="22"/>
        </w:rPr>
        <w:t xml:space="preserve">Graham, A., Phelps, R., Maddison, C., &amp; Fitzgerald, R. (2011). Supporting children’s mental health in schools: Teachers’ views. </w:t>
      </w:r>
      <w:r w:rsidRPr="14BBAF25">
        <w:rPr>
          <w:rFonts w:eastAsiaTheme="minorEastAsia"/>
          <w:i/>
          <w:iCs/>
          <w:sz w:val="22"/>
        </w:rPr>
        <w:t>Teachers and teaching: Theory and practice</w:t>
      </w:r>
      <w:r w:rsidRPr="14BBAF25">
        <w:rPr>
          <w:rFonts w:eastAsiaTheme="minorEastAsia"/>
          <w:sz w:val="22"/>
        </w:rPr>
        <w:t xml:space="preserve">, 17, 479-496. </w:t>
      </w:r>
      <w:hyperlink r:id="rId15">
        <w:r w:rsidR="6D6CFAE0" w:rsidRPr="14BBAF25">
          <w:rPr>
            <w:rStyle w:val="Hyperlink"/>
            <w:rFonts w:eastAsiaTheme="minorEastAsia"/>
            <w:color w:val="006DB4"/>
            <w:sz w:val="22"/>
          </w:rPr>
          <w:t>https://doi.org/10.1080/13540602.2011.580525</w:t>
        </w:r>
      </w:hyperlink>
    </w:p>
    <w:p w14:paraId="0153B79E" w14:textId="5EA13B17" w:rsidR="26160C38" w:rsidRDefault="26160C38" w:rsidP="14BBAF25">
      <w:pPr>
        <w:pStyle w:val="BodyText"/>
        <w:shd w:val="clear" w:color="auto" w:fill="FFFFFF" w:themeFill="background2"/>
        <w:spacing w:after="0" w:line="240" w:lineRule="auto"/>
        <w:rPr>
          <w:rFonts w:eastAsiaTheme="minorEastAsia"/>
        </w:rPr>
      </w:pPr>
    </w:p>
    <w:p w14:paraId="16704BFE" w14:textId="173DE8AB" w:rsidR="4920FBF6" w:rsidRDefault="4920FBF6" w:rsidP="3E47722D">
      <w:pPr>
        <w:pStyle w:val="BodyText"/>
        <w:spacing w:after="0" w:line="240" w:lineRule="auto"/>
        <w:rPr>
          <w:rFonts w:eastAsiaTheme="minorEastAsia"/>
        </w:rPr>
      </w:pPr>
      <w:r w:rsidRPr="3E47722D">
        <w:rPr>
          <w:rFonts w:eastAsiaTheme="minorEastAsia"/>
        </w:rPr>
        <w:t xml:space="preserve">headspace. (2020). </w:t>
      </w:r>
      <w:r w:rsidRPr="3E47722D">
        <w:rPr>
          <w:rFonts w:eastAsiaTheme="minorEastAsia"/>
          <w:i/>
          <w:iCs/>
        </w:rPr>
        <w:t>NIP it in the bud! Intervention approach.</w:t>
      </w:r>
      <w:r w:rsidRPr="3E47722D">
        <w:rPr>
          <w:rFonts w:eastAsiaTheme="minorEastAsia"/>
        </w:rPr>
        <w:t xml:space="preserve"> </w:t>
      </w:r>
      <w:hyperlink r:id="rId16">
        <w:r w:rsidRPr="3E47722D">
          <w:rPr>
            <w:rStyle w:val="Hyperlink"/>
            <w:rFonts w:eastAsiaTheme="minorEastAsia"/>
          </w:rPr>
          <w:t>https://safeminds.org.au/schools/nip-it-in-the-bud/</w:t>
        </w:r>
      </w:hyperlink>
    </w:p>
    <w:p w14:paraId="7956036C" w14:textId="561A14B8" w:rsidR="3E47722D" w:rsidRDefault="3E47722D" w:rsidP="3E47722D">
      <w:pPr>
        <w:pStyle w:val="BodyText"/>
        <w:spacing w:after="0" w:line="240" w:lineRule="auto"/>
        <w:rPr>
          <w:rFonts w:eastAsiaTheme="minorEastAsia"/>
        </w:rPr>
      </w:pPr>
    </w:p>
    <w:p w14:paraId="234AE7A4" w14:textId="06FD1CA0" w:rsidR="26160C38" w:rsidRDefault="3535356F" w:rsidP="14BBAF25">
      <w:pPr>
        <w:pStyle w:val="BodyText"/>
        <w:spacing w:after="0" w:line="240" w:lineRule="auto"/>
        <w:rPr>
          <w:rFonts w:eastAsiaTheme="minorEastAsia"/>
        </w:rPr>
      </w:pPr>
      <w:r w:rsidRPr="14BBAF25">
        <w:rPr>
          <w:rFonts w:eastAsiaTheme="minorEastAsia"/>
        </w:rPr>
        <w:t xml:space="preserve">Hood, M. (2012). </w:t>
      </w:r>
      <w:r w:rsidRPr="14BBAF25">
        <w:rPr>
          <w:rFonts w:eastAsiaTheme="minorEastAsia"/>
          <w:i/>
          <w:iCs/>
        </w:rPr>
        <w:t>Partnerships: Working together in early childhood settings.</w:t>
      </w:r>
      <w:r w:rsidRPr="14BBAF25">
        <w:rPr>
          <w:rFonts w:eastAsiaTheme="minorEastAsia"/>
        </w:rPr>
        <w:t xml:space="preserve"> Canberra: Early Childhood Australia. </w:t>
      </w:r>
    </w:p>
    <w:p w14:paraId="49CB0DC3" w14:textId="3291F16B" w:rsidR="26160C38" w:rsidRDefault="26160C38" w:rsidP="14BBAF25">
      <w:pPr>
        <w:pStyle w:val="BodyText"/>
        <w:spacing w:after="0" w:line="240" w:lineRule="auto"/>
        <w:rPr>
          <w:rFonts w:eastAsiaTheme="minorEastAsia"/>
        </w:rPr>
      </w:pPr>
    </w:p>
    <w:p w14:paraId="41FFC84D" w14:textId="3FEC12CF" w:rsidR="26160C38" w:rsidRDefault="3535356F" w:rsidP="14BBAF25">
      <w:pPr>
        <w:pStyle w:val="BodyText"/>
        <w:spacing w:after="0" w:line="240" w:lineRule="auto"/>
        <w:rPr>
          <w:rFonts w:ascii="Open Sans" w:eastAsia="Open Sans" w:hAnsi="Open Sans" w:cs="Open Sans"/>
          <w:color w:val="414042" w:themeColor="text1"/>
          <w:sz w:val="20"/>
          <w:szCs w:val="20"/>
        </w:rPr>
      </w:pPr>
      <w:r w:rsidRPr="14BBAF25">
        <w:rPr>
          <w:rFonts w:eastAsiaTheme="minorEastAsia"/>
        </w:rPr>
        <w:t xml:space="preserve">Johnson, C., Eva, A. L., Johnson, L., &amp; Walker, B. (2011). Don't turn away: Empowering teachers to support students’ mental health. </w:t>
      </w:r>
      <w:r w:rsidRPr="14BBAF25">
        <w:rPr>
          <w:rFonts w:eastAsiaTheme="minorEastAsia"/>
          <w:i/>
          <w:iCs/>
        </w:rPr>
        <w:t xml:space="preserve">The Clearing House: A Journal of Educational Strategies, </w:t>
      </w:r>
      <w:proofErr w:type="gramStart"/>
      <w:r w:rsidRPr="14BBAF25">
        <w:rPr>
          <w:rFonts w:eastAsiaTheme="minorEastAsia"/>
          <w:i/>
          <w:iCs/>
        </w:rPr>
        <w:t>Issues</w:t>
      </w:r>
      <w:proofErr w:type="gramEnd"/>
      <w:r w:rsidRPr="14BBAF25">
        <w:rPr>
          <w:rFonts w:eastAsiaTheme="minorEastAsia"/>
          <w:i/>
          <w:iCs/>
        </w:rPr>
        <w:t xml:space="preserve"> and Ideas</w:t>
      </w:r>
      <w:r w:rsidRPr="14BBAF25">
        <w:rPr>
          <w:rFonts w:eastAsiaTheme="minorEastAsia"/>
        </w:rPr>
        <w:t xml:space="preserve">, 84(1), 9- 14. </w:t>
      </w:r>
      <w:hyperlink r:id="rId17">
        <w:r w:rsidR="5FAC271E" w:rsidRPr="14BBAF25">
          <w:rPr>
            <w:rStyle w:val="Hyperlink"/>
            <w:rFonts w:eastAsiaTheme="minorEastAsia"/>
            <w:color w:val="006DB4"/>
          </w:rPr>
          <w:t>https://doi.org/10.1080/00098655.2010.484441</w:t>
        </w:r>
      </w:hyperlink>
    </w:p>
    <w:p w14:paraId="1F197480" w14:textId="0D48BE5B" w:rsidR="26160C38" w:rsidRDefault="26160C38" w:rsidP="14BBAF25">
      <w:pPr>
        <w:pStyle w:val="BodyText"/>
        <w:spacing w:after="0" w:line="240" w:lineRule="auto"/>
        <w:rPr>
          <w:rFonts w:eastAsiaTheme="minorEastAsia"/>
        </w:rPr>
      </w:pPr>
    </w:p>
    <w:p w14:paraId="018239C2" w14:textId="31E2BD78" w:rsidR="26160C38" w:rsidRDefault="3535356F" w:rsidP="14BBAF25">
      <w:pPr>
        <w:pStyle w:val="BodyText"/>
        <w:spacing w:after="0" w:line="240" w:lineRule="auto"/>
        <w:rPr>
          <w:rFonts w:ascii="Open Sans" w:eastAsia="Open Sans" w:hAnsi="Open Sans" w:cs="Open Sans"/>
          <w:color w:val="414042" w:themeColor="text1"/>
          <w:sz w:val="20"/>
          <w:szCs w:val="20"/>
        </w:rPr>
      </w:pPr>
      <w:proofErr w:type="spellStart"/>
      <w:r w:rsidRPr="14BBAF25">
        <w:rPr>
          <w:rFonts w:eastAsiaTheme="minorEastAsia"/>
        </w:rPr>
        <w:t>Kidger</w:t>
      </w:r>
      <w:proofErr w:type="spellEnd"/>
      <w:r w:rsidRPr="14BBAF25">
        <w:rPr>
          <w:rFonts w:eastAsiaTheme="minorEastAsia"/>
        </w:rPr>
        <w:t>, J., Gunnell, D., Biddle, L., Campbell, R., &amp; Donovan, J. (2010). Part and parcel of teaching? Secondary school staff's views on supporting student emotional health and well‐being.</w:t>
      </w:r>
      <w:r w:rsidRPr="14BBAF25">
        <w:rPr>
          <w:rFonts w:eastAsiaTheme="minorEastAsia"/>
          <w:i/>
          <w:iCs/>
        </w:rPr>
        <w:t xml:space="preserve"> British Educational Research Journal</w:t>
      </w:r>
      <w:r w:rsidRPr="14BBAF25">
        <w:rPr>
          <w:rFonts w:eastAsiaTheme="minorEastAsia"/>
        </w:rPr>
        <w:t xml:space="preserve">, 36(6), 919-935. </w:t>
      </w:r>
      <w:hyperlink r:id="rId18">
        <w:r w:rsidR="24337092" w:rsidRPr="14BBAF25">
          <w:rPr>
            <w:rStyle w:val="Hyperlink"/>
            <w:rFonts w:eastAsiaTheme="minorEastAsia"/>
            <w:color w:val="10147E"/>
          </w:rPr>
          <w:t>https://doi.org/10.1080/01411920903249308</w:t>
        </w:r>
      </w:hyperlink>
    </w:p>
    <w:p w14:paraId="034447D5" w14:textId="5B0358C1" w:rsidR="26160C38" w:rsidRDefault="26160C38" w:rsidP="14BBAF25">
      <w:pPr>
        <w:pStyle w:val="BodyText"/>
        <w:spacing w:after="0" w:line="240" w:lineRule="auto"/>
        <w:rPr>
          <w:rFonts w:eastAsiaTheme="minorEastAsia"/>
          <w:color w:val="10147E"/>
          <w:u w:val="single"/>
        </w:rPr>
      </w:pPr>
    </w:p>
    <w:p w14:paraId="0AE82BDB" w14:textId="7AF898C4" w:rsidR="26160C38" w:rsidRDefault="6572B415" w:rsidP="14BBAF25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14BBAF25">
        <w:rPr>
          <w:rFonts w:eastAsiaTheme="minorEastAsia"/>
          <w:color w:val="333333"/>
          <w:sz w:val="22"/>
        </w:rPr>
        <w:t>Kutcher</w:t>
      </w:r>
      <w:r w:rsidR="2280439D" w:rsidRPr="14BBAF25">
        <w:rPr>
          <w:rFonts w:eastAsiaTheme="minorEastAsia"/>
          <w:color w:val="333333"/>
          <w:sz w:val="22"/>
        </w:rPr>
        <w:t>,</w:t>
      </w:r>
      <w:r w:rsidRPr="14BBAF25">
        <w:rPr>
          <w:rFonts w:eastAsiaTheme="minorEastAsia"/>
          <w:color w:val="333333"/>
          <w:sz w:val="22"/>
        </w:rPr>
        <w:t xml:space="preserve"> S</w:t>
      </w:r>
      <w:r w:rsidR="113C9E19" w:rsidRPr="14BBAF25">
        <w:rPr>
          <w:rFonts w:eastAsiaTheme="minorEastAsia"/>
          <w:color w:val="333333"/>
          <w:sz w:val="22"/>
        </w:rPr>
        <w:t>.</w:t>
      </w:r>
      <w:r w:rsidRPr="14BBAF25">
        <w:rPr>
          <w:rFonts w:eastAsiaTheme="minorEastAsia"/>
          <w:color w:val="333333"/>
          <w:sz w:val="22"/>
        </w:rPr>
        <w:t xml:space="preserve">, Wei Y, </w:t>
      </w:r>
      <w:proofErr w:type="spellStart"/>
      <w:r w:rsidRPr="14BBAF25">
        <w:rPr>
          <w:rFonts w:eastAsiaTheme="minorEastAsia"/>
          <w:color w:val="333333"/>
          <w:sz w:val="22"/>
        </w:rPr>
        <w:t>McLuckie</w:t>
      </w:r>
      <w:proofErr w:type="spellEnd"/>
      <w:r w:rsidR="0ACA5CB7" w:rsidRPr="14BBAF25">
        <w:rPr>
          <w:rFonts w:eastAsiaTheme="minorEastAsia"/>
          <w:color w:val="333333"/>
          <w:sz w:val="22"/>
        </w:rPr>
        <w:t>,</w:t>
      </w:r>
      <w:r w:rsidRPr="14BBAF25">
        <w:rPr>
          <w:rFonts w:eastAsiaTheme="minorEastAsia"/>
          <w:color w:val="333333"/>
          <w:sz w:val="22"/>
        </w:rPr>
        <w:t xml:space="preserve"> A</w:t>
      </w:r>
      <w:r w:rsidR="617F5C29" w:rsidRPr="14BBAF25">
        <w:rPr>
          <w:rFonts w:eastAsiaTheme="minorEastAsia"/>
          <w:color w:val="333333"/>
          <w:sz w:val="22"/>
        </w:rPr>
        <w:t>.</w:t>
      </w:r>
      <w:r w:rsidRPr="14BBAF25">
        <w:rPr>
          <w:rFonts w:eastAsiaTheme="minorEastAsia"/>
          <w:color w:val="333333"/>
          <w:sz w:val="22"/>
        </w:rPr>
        <w:t>, Bullock</w:t>
      </w:r>
      <w:r w:rsidR="71BC0107" w:rsidRPr="14BBAF25">
        <w:rPr>
          <w:rFonts w:eastAsiaTheme="minorEastAsia"/>
          <w:color w:val="333333"/>
          <w:sz w:val="22"/>
        </w:rPr>
        <w:t xml:space="preserve">, </w:t>
      </w:r>
      <w:r w:rsidRPr="14BBAF25">
        <w:rPr>
          <w:rFonts w:eastAsiaTheme="minorEastAsia"/>
          <w:color w:val="333333"/>
          <w:sz w:val="22"/>
        </w:rPr>
        <w:t xml:space="preserve">L. (2013) Educator mental health literacy: A programme evaluation of the teacher training education on the mental health &amp; high school curriculum guide. </w:t>
      </w:r>
      <w:r w:rsidRPr="14BBAF25">
        <w:rPr>
          <w:rFonts w:eastAsiaTheme="minorEastAsia"/>
          <w:i/>
          <w:iCs/>
          <w:color w:val="333333"/>
          <w:sz w:val="22"/>
        </w:rPr>
        <w:lastRenderedPageBreak/>
        <w:t>Advances in School Mental Health Promotion</w:t>
      </w:r>
      <w:r w:rsidRPr="14BBAF25">
        <w:rPr>
          <w:rFonts w:eastAsiaTheme="minorEastAsia"/>
          <w:color w:val="333333"/>
          <w:sz w:val="22"/>
        </w:rPr>
        <w:t>. Apr;6(2):83-93.</w:t>
      </w:r>
      <w:r w:rsidR="075E096A" w:rsidRPr="14BBAF25">
        <w:rPr>
          <w:rFonts w:eastAsiaTheme="minorEastAsia"/>
          <w:color w:val="333333"/>
          <w:sz w:val="22"/>
        </w:rPr>
        <w:t xml:space="preserve"> </w:t>
      </w:r>
      <w:hyperlink r:id="rId19">
        <w:r w:rsidR="075E096A" w:rsidRPr="14BBAF25">
          <w:rPr>
            <w:rStyle w:val="Hyperlink"/>
            <w:rFonts w:ascii="Roboto" w:eastAsia="Roboto" w:hAnsi="Roboto" w:cs="Roboto"/>
            <w:color w:val="2C72B7"/>
            <w:sz w:val="22"/>
          </w:rPr>
          <w:t>https://doi.org/10.1080/1754730X.2013.784615</w:t>
        </w:r>
      </w:hyperlink>
    </w:p>
    <w:p w14:paraId="41C94517" w14:textId="25E503CA" w:rsidR="26160C38" w:rsidRDefault="26160C38" w:rsidP="14BBAF25">
      <w:pPr>
        <w:pStyle w:val="BodyText"/>
        <w:spacing w:after="0" w:line="240" w:lineRule="auto"/>
        <w:rPr>
          <w:rFonts w:eastAsiaTheme="minorEastAsia"/>
        </w:rPr>
      </w:pPr>
    </w:p>
    <w:p w14:paraId="63AB3F60" w14:textId="1433FD3D" w:rsidR="26160C38" w:rsidRDefault="3535356F" w:rsidP="14BBAF25">
      <w:pPr>
        <w:pStyle w:val="BodyText"/>
        <w:spacing w:after="0" w:line="240" w:lineRule="auto"/>
      </w:pPr>
      <w:r w:rsidRPr="14BBAF25">
        <w:rPr>
          <w:rFonts w:eastAsiaTheme="minorEastAsia"/>
        </w:rPr>
        <w:t xml:space="preserve">Loades, M. E., &amp; </w:t>
      </w:r>
      <w:proofErr w:type="spellStart"/>
      <w:r w:rsidRPr="14BBAF25">
        <w:rPr>
          <w:rFonts w:eastAsiaTheme="minorEastAsia"/>
        </w:rPr>
        <w:t>Mastroyannopoulou</w:t>
      </w:r>
      <w:proofErr w:type="spellEnd"/>
      <w:r w:rsidRPr="14BBAF25">
        <w:rPr>
          <w:rFonts w:eastAsiaTheme="minorEastAsia"/>
        </w:rPr>
        <w:t xml:space="preserve">, K. (2010). Teachers’ recognition of children’s mental health problems. </w:t>
      </w:r>
      <w:r w:rsidRPr="14BBAF25">
        <w:rPr>
          <w:rFonts w:eastAsiaTheme="minorEastAsia"/>
          <w:i/>
          <w:iCs/>
        </w:rPr>
        <w:t>Child and Adolescent Mental Health</w:t>
      </w:r>
      <w:r w:rsidRPr="14BBAF25">
        <w:rPr>
          <w:rFonts w:eastAsiaTheme="minorEastAsia"/>
        </w:rPr>
        <w:t xml:space="preserve">, 15(3), 150-156. </w:t>
      </w:r>
      <w:hyperlink r:id="rId20">
        <w:r w:rsidR="40562C7F" w:rsidRPr="14BBAF25">
          <w:rPr>
            <w:rStyle w:val="Hyperlink"/>
            <w:rFonts w:eastAsiaTheme="minorEastAsia"/>
          </w:rPr>
          <w:t>https://doi.org/10.1111/j.1475-3588.2009.00551.x</w:t>
        </w:r>
      </w:hyperlink>
    </w:p>
    <w:p w14:paraId="6B1C9F49" w14:textId="51748800" w:rsidR="26160C38" w:rsidRDefault="3535356F" w:rsidP="14BBAF25">
      <w:pPr>
        <w:pStyle w:val="BodyText"/>
        <w:spacing w:after="0" w:line="240" w:lineRule="auto"/>
      </w:pPr>
      <w:proofErr w:type="spellStart"/>
      <w:r w:rsidRPr="14BBAF25">
        <w:rPr>
          <w:rFonts w:eastAsiaTheme="minorEastAsia"/>
        </w:rPr>
        <w:t>Mazzer</w:t>
      </w:r>
      <w:proofErr w:type="spellEnd"/>
      <w:r w:rsidRPr="14BBAF25">
        <w:rPr>
          <w:rFonts w:eastAsiaTheme="minorEastAsia"/>
        </w:rPr>
        <w:t xml:space="preserve">, K. R., &amp; </w:t>
      </w:r>
      <w:proofErr w:type="spellStart"/>
      <w:r w:rsidRPr="14BBAF25">
        <w:rPr>
          <w:rFonts w:eastAsiaTheme="minorEastAsia"/>
        </w:rPr>
        <w:t>Rickwood</w:t>
      </w:r>
      <w:proofErr w:type="spellEnd"/>
      <w:r w:rsidRPr="14BBAF25">
        <w:rPr>
          <w:rFonts w:eastAsiaTheme="minorEastAsia"/>
        </w:rPr>
        <w:t xml:space="preserve">, D. J. (2015). Teachers' role breadth and perceived efficacy in supporting student mental health. </w:t>
      </w:r>
      <w:r w:rsidRPr="14BBAF25">
        <w:rPr>
          <w:rFonts w:eastAsiaTheme="minorEastAsia"/>
          <w:i/>
          <w:iCs/>
        </w:rPr>
        <w:t>Advances in school mental health promotion</w:t>
      </w:r>
      <w:r w:rsidRPr="14BBAF25">
        <w:rPr>
          <w:rFonts w:eastAsiaTheme="minorEastAsia"/>
        </w:rPr>
        <w:t xml:space="preserve">, 8(1), 29-41. </w:t>
      </w:r>
      <w:hyperlink r:id="rId21">
        <w:r w:rsidR="19C63AD6" w:rsidRPr="14BBAF25">
          <w:rPr>
            <w:rStyle w:val="Hyperlink"/>
            <w:color w:val="23527C"/>
          </w:rPr>
          <w:t>https://doi.org/10.1080/1754730X.2014.978119</w:t>
        </w:r>
      </w:hyperlink>
    </w:p>
    <w:p w14:paraId="223D21E7" w14:textId="0EF69050" w:rsidR="26160C38" w:rsidRDefault="26160C38" w:rsidP="14BBAF25">
      <w:pPr>
        <w:pStyle w:val="BodyText"/>
        <w:spacing w:after="0" w:line="240" w:lineRule="auto"/>
        <w:rPr>
          <w:rFonts w:eastAsiaTheme="minorEastAsia"/>
        </w:rPr>
      </w:pPr>
    </w:p>
    <w:p w14:paraId="30425C84" w14:textId="76E6BD5B" w:rsidR="26160C38" w:rsidRDefault="3535356F" w:rsidP="14BBAF25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14BBAF25">
        <w:rPr>
          <w:rFonts w:eastAsiaTheme="minorEastAsia"/>
        </w:rPr>
        <w:t>McGorry</w:t>
      </w:r>
      <w:proofErr w:type="spellEnd"/>
      <w:r w:rsidRPr="14BBAF25">
        <w:rPr>
          <w:rFonts w:eastAsiaTheme="minorEastAsia"/>
        </w:rPr>
        <w:t xml:space="preserve">, P., Goldstone, S. (2011). Is this normal? Assessing mental health in young people. </w:t>
      </w:r>
      <w:r w:rsidRPr="14BBAF25">
        <w:rPr>
          <w:rFonts w:eastAsiaTheme="minorEastAsia"/>
          <w:i/>
          <w:iCs/>
        </w:rPr>
        <w:t>Australian Family Physician</w:t>
      </w:r>
      <w:r w:rsidRPr="14BBAF25">
        <w:rPr>
          <w:rFonts w:eastAsiaTheme="minorEastAsia"/>
        </w:rPr>
        <w:t>, 40(3), 94- 97</w:t>
      </w:r>
      <w:r w:rsidR="7918AD6E" w:rsidRPr="14BBAF25">
        <w:rPr>
          <w:rFonts w:eastAsiaTheme="minorEastAsia"/>
        </w:rPr>
        <w:t>.</w:t>
      </w:r>
    </w:p>
    <w:p w14:paraId="3FFA3366" w14:textId="6176C8C1" w:rsidR="26160C38" w:rsidRDefault="26160C38" w:rsidP="14BBAF25">
      <w:pPr>
        <w:pStyle w:val="BodyText"/>
        <w:spacing w:after="0" w:line="240" w:lineRule="auto"/>
        <w:rPr>
          <w:rFonts w:eastAsiaTheme="minorEastAsia"/>
        </w:rPr>
      </w:pPr>
    </w:p>
    <w:p w14:paraId="26E57983" w14:textId="36E4678C" w:rsidR="26160C38" w:rsidRDefault="3535356F" w:rsidP="14BBAF25">
      <w:pPr>
        <w:pStyle w:val="BodyText"/>
        <w:spacing w:after="0" w:line="240" w:lineRule="auto"/>
      </w:pPr>
      <w:proofErr w:type="spellStart"/>
      <w:r w:rsidRPr="14BBAF25">
        <w:rPr>
          <w:rFonts w:eastAsiaTheme="minorEastAsia"/>
        </w:rPr>
        <w:t>Rothì</w:t>
      </w:r>
      <w:proofErr w:type="spellEnd"/>
      <w:r w:rsidRPr="14BBAF25">
        <w:rPr>
          <w:rFonts w:eastAsiaTheme="minorEastAsia"/>
        </w:rPr>
        <w:t xml:space="preserve">, D. M., Leavey, G., &amp; Best, R. (2008). On the front-line: Teachers as active observers of pupils’ mental health. </w:t>
      </w:r>
      <w:r w:rsidRPr="14BBAF25">
        <w:rPr>
          <w:rFonts w:eastAsiaTheme="minorEastAsia"/>
          <w:i/>
          <w:iCs/>
        </w:rPr>
        <w:t>Teaching and Teacher Education</w:t>
      </w:r>
      <w:r w:rsidRPr="14BBAF25">
        <w:rPr>
          <w:rFonts w:eastAsiaTheme="minorEastAsia"/>
        </w:rPr>
        <w:t xml:space="preserve">, 24(5), 1217-1231. </w:t>
      </w:r>
    </w:p>
    <w:p w14:paraId="54A05A6A" w14:textId="560347FB" w:rsidR="26160C38" w:rsidRDefault="004F0178" w:rsidP="14BBAF25">
      <w:pPr>
        <w:pStyle w:val="BodyText"/>
        <w:spacing w:after="0" w:line="240" w:lineRule="auto"/>
      </w:pPr>
      <w:hyperlink r:id="rId22">
        <w:r w:rsidR="49E8F188" w:rsidRPr="14BBAF25">
          <w:rPr>
            <w:rStyle w:val="Hyperlink"/>
            <w:rFonts w:eastAsiaTheme="minorEastAsia"/>
          </w:rPr>
          <w:t>https://doi.org/10.1016/j.tate.2007.09.011</w:t>
        </w:r>
      </w:hyperlink>
    </w:p>
    <w:p w14:paraId="1DA786B0" w14:textId="54B18DEE" w:rsidR="26160C38" w:rsidRDefault="26160C38" w:rsidP="14BBAF25">
      <w:pPr>
        <w:pStyle w:val="BodyText"/>
        <w:spacing w:after="0" w:line="240" w:lineRule="auto"/>
        <w:rPr>
          <w:rFonts w:eastAsiaTheme="minorEastAsia"/>
          <w:color w:val="1F1F1F"/>
        </w:rPr>
      </w:pPr>
    </w:p>
    <w:p w14:paraId="3F964EB7" w14:textId="347D789C" w:rsidR="47B7E1D7" w:rsidRDefault="3535356F" w:rsidP="14BBAF25">
      <w:pPr>
        <w:pStyle w:val="BodyText"/>
        <w:spacing w:after="0" w:line="240" w:lineRule="auto"/>
      </w:pPr>
      <w:r w:rsidRPr="14BBAF25">
        <w:rPr>
          <w:rFonts w:eastAsiaTheme="minorEastAsia"/>
        </w:rPr>
        <w:t xml:space="preserve">Whitley, J., Smith, J. D., &amp; Vaillancourt, T. (2013). Promoting mental health literacy among educators: Critical in school-based prevention and intervention. </w:t>
      </w:r>
      <w:r w:rsidRPr="14BBAF25">
        <w:rPr>
          <w:rFonts w:eastAsiaTheme="minorEastAsia"/>
          <w:i/>
          <w:iCs/>
        </w:rPr>
        <w:t>Canadian Journal of School Psychology</w:t>
      </w:r>
      <w:r w:rsidRPr="14BBAF25">
        <w:rPr>
          <w:rFonts w:eastAsiaTheme="minorEastAsia"/>
        </w:rPr>
        <w:t>, 28(1), 56-70.</w:t>
      </w:r>
      <w:r w:rsidR="6DC2AD94" w:rsidRPr="14BBAF25">
        <w:rPr>
          <w:rFonts w:eastAsiaTheme="minorEastAsia"/>
        </w:rPr>
        <w:t xml:space="preserve"> </w:t>
      </w:r>
      <w:hyperlink r:id="rId23">
        <w:r w:rsidR="6DC2AD94" w:rsidRPr="14BBAF25">
          <w:rPr>
            <w:rStyle w:val="Hyperlink"/>
            <w:color w:val="2C72B7"/>
          </w:rPr>
          <w:t>https://doi.org/10.1177/0829573512468852</w:t>
        </w:r>
      </w:hyperlink>
    </w:p>
    <w:sectPr w:rsidR="47B7E1D7" w:rsidSect="00EC42B7">
      <w:headerReference w:type="default" r:id="rId24"/>
      <w:footerReference w:type="default" r:id="rId25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8225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3BB47BE9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76FE2EC0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panose1 w:val="02000503000000020004"/>
    <w:charset w:val="00"/>
    <w:family w:val="auto"/>
    <w:pitch w:val="variable"/>
    <w:sig w:usb0="800000A7" w:usb1="00000043" w:usb2="00000000" w:usb3="00000000" w:csb0="00000003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158DFC5E" w:rsidR="00274F8A" w:rsidRPr="002B27B5" w:rsidRDefault="30AD5044" w:rsidP="002B27B5">
    <w:pPr>
      <w:pStyle w:val="Footer"/>
    </w:pPr>
    <w:r>
      <w:t>Early Support, Inquire</w:t>
    </w:r>
    <w:r w:rsidR="6999302B">
      <w:tab/>
    </w:r>
    <w:r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12EA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1840DBD1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55CED571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5C4FA2D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EF91413"/>
    <w:multiLevelType w:val="hybridMultilevel"/>
    <w:tmpl w:val="2C74ED54"/>
    <w:lvl w:ilvl="0" w:tplc="4A9E2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E4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AC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26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C6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64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47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60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46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03255AF"/>
    <w:multiLevelType w:val="hybridMultilevel"/>
    <w:tmpl w:val="FF48F7DE"/>
    <w:lvl w:ilvl="0" w:tplc="B9B85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87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67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62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4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A6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44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A3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8B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5E6894"/>
    <w:multiLevelType w:val="multilevel"/>
    <w:tmpl w:val="AD42521C"/>
    <w:numStyleLink w:val="ZZBullets"/>
  </w:abstractNum>
  <w:abstractNum w:abstractNumId="24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34318"/>
    <w:multiLevelType w:val="hybridMultilevel"/>
    <w:tmpl w:val="B68A46B0"/>
    <w:lvl w:ilvl="0" w:tplc="1994B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4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22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0A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45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4B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A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AD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0B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16966">
    <w:abstractNumId w:val="20"/>
  </w:num>
  <w:num w:numId="2" w16cid:durableId="1110079216">
    <w:abstractNumId w:val="29"/>
  </w:num>
  <w:num w:numId="3" w16cid:durableId="821119371">
    <w:abstractNumId w:val="11"/>
  </w:num>
  <w:num w:numId="4" w16cid:durableId="1327321645">
    <w:abstractNumId w:val="19"/>
  </w:num>
  <w:num w:numId="5" w16cid:durableId="1894778370">
    <w:abstractNumId w:val="27"/>
  </w:num>
  <w:num w:numId="6" w16cid:durableId="1347175476">
    <w:abstractNumId w:val="6"/>
  </w:num>
  <w:num w:numId="7" w16cid:durableId="84544556">
    <w:abstractNumId w:val="23"/>
  </w:num>
  <w:num w:numId="8" w16cid:durableId="986667615">
    <w:abstractNumId w:val="25"/>
  </w:num>
  <w:num w:numId="9" w16cid:durableId="1099106918">
    <w:abstractNumId w:val="9"/>
  </w:num>
  <w:num w:numId="10" w16cid:durableId="1457525015">
    <w:abstractNumId w:val="22"/>
  </w:num>
  <w:num w:numId="11" w16cid:durableId="736637002">
    <w:abstractNumId w:val="10"/>
  </w:num>
  <w:num w:numId="12" w16cid:durableId="1973704511">
    <w:abstractNumId w:val="21"/>
  </w:num>
  <w:num w:numId="13" w16cid:durableId="158472550">
    <w:abstractNumId w:val="1"/>
  </w:num>
  <w:num w:numId="14" w16cid:durableId="151600614">
    <w:abstractNumId w:val="30"/>
  </w:num>
  <w:num w:numId="15" w16cid:durableId="55125062">
    <w:abstractNumId w:val="14"/>
  </w:num>
  <w:num w:numId="16" w16cid:durableId="2063629556">
    <w:abstractNumId w:val="2"/>
  </w:num>
  <w:num w:numId="17" w16cid:durableId="202401773">
    <w:abstractNumId w:val="31"/>
  </w:num>
  <w:num w:numId="18" w16cid:durableId="453672756">
    <w:abstractNumId w:val="3"/>
  </w:num>
  <w:num w:numId="19" w16cid:durableId="731000747">
    <w:abstractNumId w:val="26"/>
  </w:num>
  <w:num w:numId="20" w16cid:durableId="1029143342">
    <w:abstractNumId w:val="13"/>
  </w:num>
  <w:num w:numId="21" w16cid:durableId="310596745">
    <w:abstractNumId w:val="0"/>
  </w:num>
  <w:num w:numId="22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0304554">
    <w:abstractNumId w:val="5"/>
  </w:num>
  <w:num w:numId="24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6405333">
    <w:abstractNumId w:val="15"/>
  </w:num>
  <w:num w:numId="28" w16cid:durableId="3342631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57124623">
    <w:abstractNumId w:val="32"/>
  </w:num>
  <w:num w:numId="30" w16cid:durableId="1228146276">
    <w:abstractNumId w:val="8"/>
  </w:num>
  <w:num w:numId="31" w16cid:durableId="655837283">
    <w:abstractNumId w:val="24"/>
  </w:num>
  <w:num w:numId="32" w16cid:durableId="1673609303">
    <w:abstractNumId w:val="17"/>
  </w:num>
  <w:num w:numId="33" w16cid:durableId="1141072290">
    <w:abstractNumId w:val="18"/>
  </w:num>
  <w:num w:numId="34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4099590">
    <w:abstractNumId w:val="5"/>
  </w:num>
  <w:num w:numId="36" w16cid:durableId="1188060267">
    <w:abstractNumId w:val="16"/>
  </w:num>
  <w:num w:numId="37" w16cid:durableId="911425963">
    <w:abstractNumId w:val="4"/>
  </w:num>
  <w:num w:numId="38" w16cid:durableId="1309748235">
    <w:abstractNumId w:val="7"/>
  </w:num>
  <w:num w:numId="39" w16cid:durableId="1233079467">
    <w:abstractNumId w:val="28"/>
  </w:num>
  <w:num w:numId="40" w16cid:durableId="1361397646">
    <w:abstractNumId w:val="12"/>
  </w:num>
  <w:num w:numId="41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178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4E71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684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5E0BA5"/>
    <w:rsid w:val="01812CC6"/>
    <w:rsid w:val="0317BEE5"/>
    <w:rsid w:val="035F4D84"/>
    <w:rsid w:val="0387B7ED"/>
    <w:rsid w:val="0410ABDC"/>
    <w:rsid w:val="04E0CBC6"/>
    <w:rsid w:val="05831706"/>
    <w:rsid w:val="05DF3344"/>
    <w:rsid w:val="06028708"/>
    <w:rsid w:val="0679F81F"/>
    <w:rsid w:val="067C9C27"/>
    <w:rsid w:val="075E096A"/>
    <w:rsid w:val="0766984A"/>
    <w:rsid w:val="07BE7A87"/>
    <w:rsid w:val="08186C88"/>
    <w:rsid w:val="08E031A9"/>
    <w:rsid w:val="08EF1961"/>
    <w:rsid w:val="095A4AE8"/>
    <w:rsid w:val="09DD9491"/>
    <w:rsid w:val="0ACA5CB7"/>
    <w:rsid w:val="0B5A3408"/>
    <w:rsid w:val="0BED93B7"/>
    <w:rsid w:val="0C16FE7C"/>
    <w:rsid w:val="0C91EBAA"/>
    <w:rsid w:val="0CB09D40"/>
    <w:rsid w:val="0CE63645"/>
    <w:rsid w:val="0D153553"/>
    <w:rsid w:val="0DAFE998"/>
    <w:rsid w:val="0E0D98ED"/>
    <w:rsid w:val="0E66CE64"/>
    <w:rsid w:val="0E88A685"/>
    <w:rsid w:val="0ED17DA3"/>
    <w:rsid w:val="0F08D9FB"/>
    <w:rsid w:val="0FBDE310"/>
    <w:rsid w:val="1053BC21"/>
    <w:rsid w:val="108A99FE"/>
    <w:rsid w:val="113C9E19"/>
    <w:rsid w:val="1145D2FC"/>
    <w:rsid w:val="1285AD8F"/>
    <w:rsid w:val="12BF3C91"/>
    <w:rsid w:val="12CEC744"/>
    <w:rsid w:val="131FDEC4"/>
    <w:rsid w:val="138BD0D0"/>
    <w:rsid w:val="13C23AC0"/>
    <w:rsid w:val="147CDA71"/>
    <w:rsid w:val="14BBAF25"/>
    <w:rsid w:val="155E0B21"/>
    <w:rsid w:val="1618AAD2"/>
    <w:rsid w:val="16B662FA"/>
    <w:rsid w:val="16C000A4"/>
    <w:rsid w:val="17ECEA57"/>
    <w:rsid w:val="1899AF4F"/>
    <w:rsid w:val="19C63AD6"/>
    <w:rsid w:val="1A268574"/>
    <w:rsid w:val="1A9D7685"/>
    <w:rsid w:val="1BA485D6"/>
    <w:rsid w:val="1D41FEE4"/>
    <w:rsid w:val="1EB0BAFE"/>
    <w:rsid w:val="1F1E7A6B"/>
    <w:rsid w:val="205D4540"/>
    <w:rsid w:val="20EB6AA2"/>
    <w:rsid w:val="2280439D"/>
    <w:rsid w:val="238E73A3"/>
    <w:rsid w:val="24337092"/>
    <w:rsid w:val="26160C38"/>
    <w:rsid w:val="267C6A40"/>
    <w:rsid w:val="26F2BF35"/>
    <w:rsid w:val="27F14A15"/>
    <w:rsid w:val="29382D60"/>
    <w:rsid w:val="2A2EC728"/>
    <w:rsid w:val="2AE85FC6"/>
    <w:rsid w:val="2B2FD99C"/>
    <w:rsid w:val="2C7A927D"/>
    <w:rsid w:val="2CC8D56D"/>
    <w:rsid w:val="2CD2F6B2"/>
    <w:rsid w:val="2CF53E97"/>
    <w:rsid w:val="2E25C7E2"/>
    <w:rsid w:val="2FB926B0"/>
    <w:rsid w:val="30AD5044"/>
    <w:rsid w:val="318C48DF"/>
    <w:rsid w:val="33BB354F"/>
    <w:rsid w:val="34CD2056"/>
    <w:rsid w:val="34F2152D"/>
    <w:rsid w:val="3535356F"/>
    <w:rsid w:val="3720946B"/>
    <w:rsid w:val="37BD4524"/>
    <w:rsid w:val="38E36E01"/>
    <w:rsid w:val="3A229F23"/>
    <w:rsid w:val="3A38E040"/>
    <w:rsid w:val="3B1591AF"/>
    <w:rsid w:val="3B22C496"/>
    <w:rsid w:val="3C38DFD7"/>
    <w:rsid w:val="3D5A3FE5"/>
    <w:rsid w:val="3E47722D"/>
    <w:rsid w:val="3E52BF19"/>
    <w:rsid w:val="3F3E23CB"/>
    <w:rsid w:val="3FA979E0"/>
    <w:rsid w:val="403BBCD2"/>
    <w:rsid w:val="40562C7F"/>
    <w:rsid w:val="410395F0"/>
    <w:rsid w:val="41A109D8"/>
    <w:rsid w:val="41DEFE0A"/>
    <w:rsid w:val="42D540A9"/>
    <w:rsid w:val="431E892A"/>
    <w:rsid w:val="43DEF838"/>
    <w:rsid w:val="443E6CAE"/>
    <w:rsid w:val="4473E748"/>
    <w:rsid w:val="448FBA6C"/>
    <w:rsid w:val="44C2009D"/>
    <w:rsid w:val="4580006C"/>
    <w:rsid w:val="45E1DB05"/>
    <w:rsid w:val="45E99250"/>
    <w:rsid w:val="47B7E1D7"/>
    <w:rsid w:val="48EE0E1B"/>
    <w:rsid w:val="4920FBF6"/>
    <w:rsid w:val="49E8F188"/>
    <w:rsid w:val="4A43AE05"/>
    <w:rsid w:val="4A9AEB65"/>
    <w:rsid w:val="4E80944F"/>
    <w:rsid w:val="4F977EDA"/>
    <w:rsid w:val="502C9871"/>
    <w:rsid w:val="51B6C298"/>
    <w:rsid w:val="523388E1"/>
    <w:rsid w:val="52A1EE6C"/>
    <w:rsid w:val="54A8248B"/>
    <w:rsid w:val="54EB630F"/>
    <w:rsid w:val="56032CB4"/>
    <w:rsid w:val="567963EE"/>
    <w:rsid w:val="567BE24E"/>
    <w:rsid w:val="578E3294"/>
    <w:rsid w:val="579BBCB6"/>
    <w:rsid w:val="5817B2AF"/>
    <w:rsid w:val="58389090"/>
    <w:rsid w:val="5B91C3C6"/>
    <w:rsid w:val="5BFAF47C"/>
    <w:rsid w:val="5C07FDDE"/>
    <w:rsid w:val="5C43F21D"/>
    <w:rsid w:val="5CE8A572"/>
    <w:rsid w:val="5CF72912"/>
    <w:rsid w:val="5D8C1239"/>
    <w:rsid w:val="5DB629D0"/>
    <w:rsid w:val="5E14D127"/>
    <w:rsid w:val="5E8475D3"/>
    <w:rsid w:val="5EB23D9E"/>
    <w:rsid w:val="5EC26A05"/>
    <w:rsid w:val="5F41BEE3"/>
    <w:rsid w:val="5FAC271E"/>
    <w:rsid w:val="604E0DFF"/>
    <w:rsid w:val="6092D47B"/>
    <w:rsid w:val="6137E1F9"/>
    <w:rsid w:val="617F5C29"/>
    <w:rsid w:val="6272F71A"/>
    <w:rsid w:val="6329EEA7"/>
    <w:rsid w:val="640EC77B"/>
    <w:rsid w:val="6572B415"/>
    <w:rsid w:val="65CC1F21"/>
    <w:rsid w:val="66C66AFE"/>
    <w:rsid w:val="677E5760"/>
    <w:rsid w:val="679163D3"/>
    <w:rsid w:val="68A70FF3"/>
    <w:rsid w:val="68A73423"/>
    <w:rsid w:val="691A27C1"/>
    <w:rsid w:val="6999302B"/>
    <w:rsid w:val="69ABC23C"/>
    <w:rsid w:val="69F8F0D9"/>
    <w:rsid w:val="6AF925BA"/>
    <w:rsid w:val="6CC74FD0"/>
    <w:rsid w:val="6CF68785"/>
    <w:rsid w:val="6CFE11A0"/>
    <w:rsid w:val="6D43467A"/>
    <w:rsid w:val="6D6CFAE0"/>
    <w:rsid w:val="6DAF5B57"/>
    <w:rsid w:val="6DC2AD94"/>
    <w:rsid w:val="6E2A7C0A"/>
    <w:rsid w:val="6F5F33FF"/>
    <w:rsid w:val="6F7FCDB9"/>
    <w:rsid w:val="7004D8F5"/>
    <w:rsid w:val="7035B262"/>
    <w:rsid w:val="705701C3"/>
    <w:rsid w:val="71A0A956"/>
    <w:rsid w:val="71BC0107"/>
    <w:rsid w:val="72ACD4F5"/>
    <w:rsid w:val="733110D2"/>
    <w:rsid w:val="735041BC"/>
    <w:rsid w:val="7448A556"/>
    <w:rsid w:val="748A869F"/>
    <w:rsid w:val="74FF85DB"/>
    <w:rsid w:val="75092385"/>
    <w:rsid w:val="756C6A9E"/>
    <w:rsid w:val="75AE6AC8"/>
    <w:rsid w:val="77B26BBA"/>
    <w:rsid w:val="7918AD6E"/>
    <w:rsid w:val="79866F73"/>
    <w:rsid w:val="7ACF5722"/>
    <w:rsid w:val="7BA9FA7A"/>
    <w:rsid w:val="7C53B73B"/>
    <w:rsid w:val="7C7A28B6"/>
    <w:rsid w:val="7CAC8B64"/>
    <w:rsid w:val="7CF6E6A1"/>
    <w:rsid w:val="7DA752A0"/>
    <w:rsid w:val="7DEF879C"/>
    <w:rsid w:val="7E0666D3"/>
    <w:rsid w:val="7EB8A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F158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C0C57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7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7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11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F1584"/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10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6C0C57"/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7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6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4F1584"/>
    <w:rPr>
      <w:color w:val="1955A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46/j.0021-9630.2003.00316.x" TargetMode="External"/><Relationship Id="rId18" Type="http://schemas.openxmlformats.org/officeDocument/2006/relationships/hyperlink" Target="https://doi.org/10.1080/0141192090324930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sycnet.apa.org/doi/10.1080/1754730X.2014.978119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oi.org/10.1080/00098655.2010.484441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safeminds.org.au/schools/nip-it-in-the-bud/" TargetMode="External"/><Relationship Id="rId20" Type="http://schemas.openxmlformats.org/officeDocument/2006/relationships/hyperlink" Target="https://doi.org/10.1111/j.1475-3588.2009.00551.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oi.org/10.1080/13540602.2011.580525" TargetMode="External"/><Relationship Id="rId23" Type="http://schemas.openxmlformats.org/officeDocument/2006/relationships/hyperlink" Target="https://psycnet.apa.org/doi/10.1177/082957351246885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sycnet.apa.org/doi/10.1080/1754730X.2013.78461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sycnet.apa.org/doi/10.17105/SPR-2017-0025.V47-3" TargetMode="External"/><Relationship Id="rId22" Type="http://schemas.openxmlformats.org/officeDocument/2006/relationships/hyperlink" Target="https://doi.org/10.1016/j.tate.2007.09.011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bc718d-719e-430b-8515-420126a2b6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65AAB05BFF4EBB3164D44C3442DA" ma:contentTypeVersion="16" ma:contentTypeDescription="Create a new document." ma:contentTypeScope="" ma:versionID="447d9b87212bd5ebfdc762d0e1a0640a">
  <xsd:schema xmlns:xsd="http://www.w3.org/2001/XMLSchema" xmlns:xs="http://www.w3.org/2001/XMLSchema" xmlns:p="http://schemas.microsoft.com/office/2006/metadata/properties" xmlns:ns3="d4bc718d-719e-430b-8515-420126a2b6a7" xmlns:ns4="6bb05012-32c6-4182-9cdd-70b9f6985568" targetNamespace="http://schemas.microsoft.com/office/2006/metadata/properties" ma:root="true" ma:fieldsID="293953deac95c0d99116e20ac60e2f4f" ns3:_="" ns4:_="">
    <xsd:import namespace="d4bc718d-719e-430b-8515-420126a2b6a7"/>
    <xsd:import namespace="6bb05012-32c6-4182-9cdd-70b9f6985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718d-719e-430b-8515-420126a2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05012-32c6-4182-9cdd-70b9f698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CCDB4-586F-4843-B190-CF6C5591352D}">
  <ds:schemaRefs>
    <ds:schemaRef ds:uri="http://schemas.microsoft.com/office/2006/metadata/properties"/>
    <ds:schemaRef ds:uri="6bb05012-32c6-4182-9cdd-70b9f6985568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d4bc718d-719e-430b-8515-420126a2b6a7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AD7EB-3773-499E-94E4-E6FD0B5EF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c718d-719e-430b-8515-420126a2b6a7"/>
    <ds:schemaRef ds:uri="6bb05012-32c6-4182-9cdd-70b9f698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2</DocSecurity>
  <Lines>28</Lines>
  <Paragraphs>8</Paragraphs>
  <ScaleCrop>false</ScaleCrop>
  <Company>Be You - Beyond Blue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Rebecca David</cp:lastModifiedBy>
  <cp:revision>2</cp:revision>
  <cp:lastPrinted>2023-11-10T04:51:00Z</cp:lastPrinted>
  <dcterms:created xsi:type="dcterms:W3CDTF">2023-11-10T04:52:00Z</dcterms:created>
  <dcterms:modified xsi:type="dcterms:W3CDTF">2023-11-10T04:52:00Z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</Properties>
</file>