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D55C" w14:textId="549BBFE4" w:rsidR="00CF6311" w:rsidRPr="00455E85" w:rsidRDefault="00CF6311" w:rsidP="00455E85">
      <w:pPr>
        <w:pStyle w:val="BodyText"/>
      </w:pPr>
    </w:p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1E161D">
      <w:pPr>
        <w:pStyle w:val="DocumentTitle"/>
      </w:pPr>
      <w:r>
        <w:t>Bibliography</w:t>
      </w:r>
    </w:p>
    <w:p w14:paraId="251AD625" w14:textId="3AE0931E" w:rsidR="00592275" w:rsidRPr="002113C1" w:rsidRDefault="45E99250" w:rsidP="00C75F33">
      <w:pPr>
        <w:pStyle w:val="Heading1"/>
      </w:pPr>
      <w:r>
        <w:t>Learning Resilience</w:t>
      </w:r>
      <w:r w:rsidR="00783869">
        <w:t xml:space="preserve"> domain</w:t>
      </w:r>
    </w:p>
    <w:p w14:paraId="0A2F21E7" w14:textId="0412EEE9" w:rsidR="0766984A" w:rsidRDefault="0766984A" w:rsidP="6999302B">
      <w:pPr>
        <w:pStyle w:val="Heading2"/>
      </w:pPr>
      <w:r>
        <w:t xml:space="preserve">Affirm the importance of social and emotional learning and </w:t>
      </w:r>
      <w:proofErr w:type="gramStart"/>
      <w:r>
        <w:t>resilience</w:t>
      </w:r>
      <w:proofErr w:type="gramEnd"/>
    </w:p>
    <w:p w14:paraId="6B34A92D" w14:textId="77777777" w:rsidR="006C037C" w:rsidRDefault="006C037C" w:rsidP="0FBDE310">
      <w:pPr>
        <w:pStyle w:val="BodyText"/>
      </w:pPr>
    </w:p>
    <w:p w14:paraId="1BD83664" w14:textId="1E25AA80" w:rsidR="6A00B604" w:rsidRDefault="6A00B604" w:rsidP="2FC6708B">
      <w:pPr>
        <w:spacing w:after="0" w:line="240" w:lineRule="auto"/>
        <w:rPr>
          <w:rFonts w:ascii="Roboto" w:eastAsia="Roboto" w:hAnsi="Roboto" w:cs="Roboto"/>
          <w:color w:val="auto"/>
          <w:sz w:val="22"/>
        </w:rPr>
      </w:pPr>
      <w:r w:rsidRPr="2FC6708B">
        <w:rPr>
          <w:rFonts w:ascii="Roboto" w:eastAsia="Roboto" w:hAnsi="Roboto" w:cs="Roboto"/>
          <w:color w:val="auto"/>
          <w:sz w:val="22"/>
        </w:rPr>
        <w:t xml:space="preserve">Albert, D., </w:t>
      </w:r>
      <w:proofErr w:type="spellStart"/>
      <w:r w:rsidRPr="2FC6708B">
        <w:rPr>
          <w:rFonts w:ascii="Roboto" w:eastAsia="Roboto" w:hAnsi="Roboto" w:cs="Roboto"/>
          <w:color w:val="auto"/>
          <w:sz w:val="22"/>
        </w:rPr>
        <w:t>Chein</w:t>
      </w:r>
      <w:proofErr w:type="spellEnd"/>
      <w:r w:rsidRPr="2FC6708B">
        <w:rPr>
          <w:rFonts w:ascii="Roboto" w:eastAsia="Roboto" w:hAnsi="Roboto" w:cs="Roboto"/>
          <w:color w:val="auto"/>
          <w:sz w:val="22"/>
        </w:rPr>
        <w:t xml:space="preserve">, J., &amp; Steinberg, L. (2013). The teenage brain: Peer influences on adolescent decision making. </w:t>
      </w:r>
      <w:r w:rsidRPr="2FC6708B">
        <w:rPr>
          <w:rFonts w:ascii="Roboto" w:eastAsia="Roboto" w:hAnsi="Roboto" w:cs="Roboto"/>
          <w:i/>
          <w:iCs/>
          <w:color w:val="auto"/>
          <w:sz w:val="22"/>
        </w:rPr>
        <w:t>Current Directions in Psychological Science, 22</w:t>
      </w:r>
      <w:r w:rsidRPr="2FC6708B">
        <w:rPr>
          <w:rFonts w:ascii="Roboto" w:eastAsia="Roboto" w:hAnsi="Roboto" w:cs="Roboto"/>
          <w:color w:val="auto"/>
          <w:sz w:val="22"/>
        </w:rPr>
        <w:t xml:space="preserve">(2), 114-120. </w:t>
      </w:r>
    </w:p>
    <w:p w14:paraId="6647C89B" w14:textId="45E5B3EC" w:rsidR="6A00B604" w:rsidRDefault="005A7B40" w:rsidP="2FC6708B">
      <w:pPr>
        <w:spacing w:after="0" w:line="240" w:lineRule="auto"/>
        <w:rPr>
          <w:rFonts w:ascii="Roboto" w:eastAsia="Roboto" w:hAnsi="Roboto" w:cs="Roboto"/>
          <w:sz w:val="22"/>
        </w:rPr>
      </w:pPr>
      <w:hyperlink r:id="rId13">
        <w:r w:rsidR="6A00B604" w:rsidRPr="2FC6708B">
          <w:rPr>
            <w:rStyle w:val="Hyperlink"/>
            <w:rFonts w:ascii="Roboto" w:eastAsia="Roboto" w:hAnsi="Roboto" w:cs="Roboto"/>
            <w:color w:val="2C72B7"/>
            <w:sz w:val="22"/>
            <w:u w:val="none"/>
          </w:rPr>
          <w:t>https://doi.org/10.1177/0963721412471347</w:t>
        </w:r>
      </w:hyperlink>
    </w:p>
    <w:p w14:paraId="6139B259" w14:textId="699D84A1" w:rsidR="6999302B" w:rsidRDefault="6999302B" w:rsidP="2FC6708B">
      <w:pPr>
        <w:spacing w:after="0" w:line="240" w:lineRule="auto"/>
        <w:rPr>
          <w:rFonts w:eastAsiaTheme="minorEastAsia"/>
          <w:sz w:val="22"/>
        </w:rPr>
      </w:pPr>
    </w:p>
    <w:p w14:paraId="3D6A41D6" w14:textId="23FEA1E8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>Australian Government Department of Health (</w:t>
      </w:r>
      <w:proofErr w:type="spellStart"/>
      <w:r w:rsidRPr="2FC6708B">
        <w:rPr>
          <w:rFonts w:eastAsiaTheme="minorEastAsia"/>
          <w:color w:val="auto"/>
          <w:sz w:val="22"/>
        </w:rPr>
        <w:t>DoH</w:t>
      </w:r>
      <w:proofErr w:type="spellEnd"/>
      <w:r w:rsidRPr="2FC6708B">
        <w:rPr>
          <w:rFonts w:eastAsiaTheme="minorEastAsia"/>
          <w:color w:val="auto"/>
          <w:sz w:val="22"/>
        </w:rPr>
        <w:t xml:space="preserve">). (2013). A national framework for recovery-oriented mental health services: guide for practitioners and providers: Lesbian, gay, bisexual, transgender and intersex people. Canberra: </w:t>
      </w:r>
      <w:proofErr w:type="spellStart"/>
      <w:r w:rsidRPr="2FC6708B">
        <w:rPr>
          <w:rFonts w:eastAsiaTheme="minorEastAsia"/>
          <w:color w:val="auto"/>
          <w:sz w:val="22"/>
        </w:rPr>
        <w:t>DoH</w:t>
      </w:r>
      <w:proofErr w:type="spellEnd"/>
      <w:r w:rsidRPr="2FC6708B">
        <w:rPr>
          <w:rFonts w:eastAsiaTheme="minorEastAsia"/>
          <w:color w:val="auto"/>
          <w:sz w:val="22"/>
        </w:rPr>
        <w:t>.</w:t>
      </w:r>
    </w:p>
    <w:p w14:paraId="39B8D2E3" w14:textId="279E2BE1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35637EE8" w14:textId="06954205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Bessant, J. (2008). Hard wired for risk: Neurological science, ‘the adolescent brain’ and developmental theory. </w:t>
      </w:r>
      <w:r w:rsidRPr="2FC6708B">
        <w:rPr>
          <w:rFonts w:eastAsiaTheme="minorEastAsia"/>
          <w:i/>
          <w:iCs/>
          <w:color w:val="auto"/>
          <w:sz w:val="22"/>
        </w:rPr>
        <w:t>Journal of Youth Studies</w:t>
      </w:r>
      <w:r w:rsidRPr="2FC6708B">
        <w:rPr>
          <w:rFonts w:eastAsiaTheme="minorEastAsia"/>
          <w:color w:val="auto"/>
          <w:sz w:val="22"/>
        </w:rPr>
        <w:t xml:space="preserve">, 11(3), 347-360. </w:t>
      </w:r>
      <w:hyperlink r:id="rId14">
        <w:r w:rsidR="6288794C" w:rsidRPr="2FC6708B">
          <w:rPr>
            <w:rStyle w:val="Hyperlink"/>
            <w:rFonts w:eastAsiaTheme="minorEastAsia"/>
            <w:sz w:val="22"/>
          </w:rPr>
          <w:t>https://doi.org/10.1080/13676260801948387</w:t>
        </w:r>
      </w:hyperlink>
    </w:p>
    <w:p w14:paraId="0640BB93" w14:textId="20199311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7B338D91" w14:textId="20EC87BB" w:rsidR="0766984A" w:rsidRDefault="0766984A" w:rsidP="2FC6708B">
      <w:pPr>
        <w:spacing w:after="0" w:line="240" w:lineRule="auto"/>
        <w:rPr>
          <w:rFonts w:ascii="Roboto" w:eastAsia="Roboto" w:hAnsi="Roboto" w:cs="Robo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Black, D. S., &amp; Fernando, R. (2014). Mindfulness training and classroom </w:t>
      </w:r>
      <w:proofErr w:type="spellStart"/>
      <w:r w:rsidRPr="2FC6708B">
        <w:rPr>
          <w:rFonts w:eastAsiaTheme="minorEastAsia"/>
          <w:color w:val="auto"/>
          <w:sz w:val="22"/>
        </w:rPr>
        <w:t>behavior</w:t>
      </w:r>
      <w:proofErr w:type="spellEnd"/>
      <w:r w:rsidRPr="2FC6708B">
        <w:rPr>
          <w:rFonts w:eastAsiaTheme="minorEastAsia"/>
          <w:color w:val="auto"/>
          <w:sz w:val="22"/>
        </w:rPr>
        <w:t xml:space="preserve"> among lower-income and ethnic minority elementary school children. </w:t>
      </w:r>
      <w:r w:rsidRPr="2FC6708B">
        <w:rPr>
          <w:rFonts w:eastAsiaTheme="minorEastAsia"/>
          <w:i/>
          <w:iCs/>
          <w:color w:val="auto"/>
          <w:sz w:val="22"/>
        </w:rPr>
        <w:t>Journal of Child and Family Studies</w:t>
      </w:r>
      <w:r w:rsidRPr="2FC6708B">
        <w:rPr>
          <w:rFonts w:eastAsiaTheme="minorEastAsia"/>
          <w:color w:val="auto"/>
          <w:sz w:val="22"/>
        </w:rPr>
        <w:t xml:space="preserve">, 23(7), 1242-1246. </w:t>
      </w:r>
      <w:hyperlink r:id="rId15">
        <w:r w:rsidR="7B3AA746" w:rsidRPr="2FC6708B">
          <w:rPr>
            <w:rStyle w:val="Hyperlink"/>
            <w:rFonts w:eastAsiaTheme="minorEastAsia"/>
            <w:sz w:val="22"/>
          </w:rPr>
          <w:t>https://doi.org/10.1007/s10826-013-9784-4</w:t>
        </w:r>
      </w:hyperlink>
    </w:p>
    <w:p w14:paraId="7880180C" w14:textId="44ED150C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3FCDA26C" w14:textId="38AE4BC1" w:rsidR="6999302B" w:rsidRDefault="0766984A" w:rsidP="2FC6708B">
      <w:pPr>
        <w:spacing w:after="0" w:line="240" w:lineRule="auto"/>
        <w:rPr>
          <w:rFonts w:ascii="Roboto" w:eastAsia="Roboto" w:hAnsi="Roboto" w:cs="Robo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Casey, B.J., Jones, R.M., &amp; Hare, T.A. (2008). The adolescent brain. </w:t>
      </w:r>
      <w:r w:rsidRPr="2FC6708B">
        <w:rPr>
          <w:rFonts w:eastAsiaTheme="minorEastAsia"/>
          <w:i/>
          <w:iCs/>
          <w:color w:val="auto"/>
          <w:sz w:val="22"/>
        </w:rPr>
        <w:t>Annals of the New York Academy of Sciences</w:t>
      </w:r>
      <w:r w:rsidRPr="2FC6708B">
        <w:rPr>
          <w:rFonts w:eastAsiaTheme="minorEastAsia"/>
          <w:color w:val="auto"/>
          <w:sz w:val="22"/>
        </w:rPr>
        <w:t xml:space="preserve">, 1124, 111-126. </w:t>
      </w:r>
      <w:hyperlink r:id="rId16">
        <w:r w:rsidR="39DF8C78" w:rsidRPr="2FC6708B">
          <w:rPr>
            <w:rStyle w:val="Hyperlink"/>
            <w:rFonts w:eastAsiaTheme="minorEastAsia"/>
            <w:sz w:val="22"/>
          </w:rPr>
          <w:t>https://doi.org/10.1196/annals.1440.010</w:t>
        </w:r>
      </w:hyperlink>
    </w:p>
    <w:p w14:paraId="7D685E8A" w14:textId="67167C08" w:rsidR="6999302B" w:rsidRDefault="6999302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3EB1002" w14:textId="3519FF24" w:rsidR="6999302B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Circle of Security (2018). </w:t>
      </w:r>
      <w:r w:rsidRPr="2FC6708B">
        <w:rPr>
          <w:rFonts w:eastAsiaTheme="minorEastAsia"/>
          <w:i/>
          <w:iCs/>
          <w:color w:val="auto"/>
          <w:sz w:val="22"/>
        </w:rPr>
        <w:t>An early intervention program for parents and children.</w:t>
      </w:r>
      <w:r w:rsidRPr="2FC6708B">
        <w:rPr>
          <w:rFonts w:eastAsiaTheme="minorEastAsia"/>
          <w:color w:val="auto"/>
          <w:sz w:val="22"/>
        </w:rPr>
        <w:t xml:space="preserve"> </w:t>
      </w:r>
      <w:hyperlink r:id="rId17">
        <w:r w:rsidRPr="2FC6708B">
          <w:rPr>
            <w:rStyle w:val="Hyperlink"/>
            <w:rFonts w:eastAsiaTheme="minorEastAsia"/>
            <w:sz w:val="22"/>
          </w:rPr>
          <w:t>https://www.circleofsecurityinternational.com</w:t>
        </w:r>
      </w:hyperlink>
    </w:p>
    <w:p w14:paraId="5B1AC07E" w14:textId="302A3EB7" w:rsidR="6999302B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 </w:t>
      </w:r>
    </w:p>
    <w:p w14:paraId="5DAF946C" w14:textId="0040CAEB" w:rsidR="7E0666D3" w:rsidRDefault="7E0666D3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Cherry, K. (2022). </w:t>
      </w:r>
      <w:r w:rsidRPr="2FC6708B">
        <w:rPr>
          <w:rFonts w:eastAsiaTheme="minorEastAsia"/>
          <w:i/>
          <w:iCs/>
          <w:color w:val="auto"/>
          <w:sz w:val="22"/>
        </w:rPr>
        <w:t>What is self-concept?</w:t>
      </w:r>
      <w:r w:rsidRPr="2FC6708B">
        <w:rPr>
          <w:rFonts w:eastAsiaTheme="minorEastAsia"/>
          <w:color w:val="auto"/>
          <w:sz w:val="22"/>
        </w:rPr>
        <w:t xml:space="preserve"> Very Well Mind. </w:t>
      </w:r>
      <w:hyperlink r:id="rId18">
        <w:r w:rsidRPr="2FC6708B">
          <w:rPr>
            <w:rStyle w:val="Hyperlink"/>
            <w:rFonts w:eastAsiaTheme="minorEastAsia"/>
            <w:color w:val="auto"/>
            <w:sz w:val="22"/>
          </w:rPr>
          <w:t>https://www.verywellmind.com/what-is-self-concept-2795865</w:t>
        </w:r>
      </w:hyperlink>
    </w:p>
    <w:p w14:paraId="4BA006B7" w14:textId="435AF8A8" w:rsidR="2FC6708B" w:rsidRDefault="2FC6708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70007064" w14:textId="7ED35E53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Collaborative for Academic, Social, and Emotional Learning (CASEL). (2018). Core SEL competencies. Chicago: CASEL. </w:t>
      </w:r>
      <w:hyperlink r:id="rId19">
        <w:r w:rsidRPr="2FC6708B">
          <w:rPr>
            <w:rStyle w:val="Hyperlink"/>
            <w:rFonts w:eastAsiaTheme="minorEastAsia"/>
            <w:sz w:val="22"/>
          </w:rPr>
          <w:t>https://casel.org/core-competencies/</w:t>
        </w:r>
      </w:hyperlink>
    </w:p>
    <w:p w14:paraId="72830CCC" w14:textId="6442CA53" w:rsidR="2FC6708B" w:rsidRDefault="2FC6708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1FA98E2E" w14:textId="2DD83A58" w:rsidR="0C91EBAA" w:rsidRDefault="0C91EBAA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500F96F3" w14:textId="179A3447" w:rsidR="2177A9F3" w:rsidRDefault="2177A9F3" w:rsidP="2FC6708B">
      <w:pPr>
        <w:spacing w:line="257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Dockett, S. &amp; Perry, B. (2014). </w:t>
      </w:r>
      <w:r w:rsidRPr="2FC6708B">
        <w:rPr>
          <w:rFonts w:eastAsiaTheme="minorEastAsia"/>
          <w:i/>
          <w:iCs/>
          <w:color w:val="auto"/>
          <w:sz w:val="22"/>
        </w:rPr>
        <w:t>Continuity of Learning: A resource to support effective transition to school and school age care.</w:t>
      </w:r>
      <w:r w:rsidRPr="2FC6708B">
        <w:rPr>
          <w:rFonts w:eastAsiaTheme="minorEastAsia"/>
          <w:color w:val="auto"/>
          <w:sz w:val="22"/>
        </w:rPr>
        <w:t xml:space="preserve"> Canberra, ACT: Australian Government Department of Education.</w:t>
      </w:r>
      <w:r w:rsidRPr="2FC6708B">
        <w:rPr>
          <w:rFonts w:eastAsiaTheme="minorEastAsia"/>
          <w:sz w:val="22"/>
        </w:rPr>
        <w:t xml:space="preserve">  </w:t>
      </w:r>
      <w:hyperlink r:id="rId20">
        <w:r w:rsidRPr="2FC6708B">
          <w:rPr>
            <w:rStyle w:val="Hyperlink"/>
            <w:rFonts w:eastAsiaTheme="minorEastAsia"/>
            <w:color w:val="0563C1"/>
            <w:sz w:val="22"/>
          </w:rPr>
          <w:t>https://www.education.gov.au/early-childhood/resources/continuity-learning-resource-support-effective-transition-school-and-school-age-care</w:t>
        </w:r>
      </w:hyperlink>
    </w:p>
    <w:p w14:paraId="3294B2AE" w14:textId="01193ED1" w:rsidR="2177A9F3" w:rsidRDefault="2177A9F3" w:rsidP="2FC6708B">
      <w:pPr>
        <w:spacing w:line="257" w:lineRule="auto"/>
        <w:rPr>
          <w:rFonts w:ascii="Roboto" w:eastAsia="Roboto" w:hAnsi="Roboto" w:cs="Roboto"/>
          <w:color w:val="000000"/>
          <w:sz w:val="22"/>
        </w:rPr>
      </w:pPr>
      <w:r w:rsidRPr="2FC6708B">
        <w:rPr>
          <w:rFonts w:ascii="Roboto" w:eastAsia="Roboto" w:hAnsi="Roboto" w:cs="Roboto"/>
          <w:color w:val="000000"/>
          <w:sz w:val="22"/>
        </w:rPr>
        <w:t xml:space="preserve">Dockett, S., Perry B., &amp; Kearney, E. (2012). Family transitions as children start schools. </w:t>
      </w:r>
      <w:r w:rsidRPr="2FC6708B">
        <w:rPr>
          <w:rFonts w:ascii="Roboto" w:eastAsia="Roboto" w:hAnsi="Roboto" w:cs="Roboto"/>
          <w:i/>
          <w:iCs/>
          <w:color w:val="000000"/>
          <w:sz w:val="22"/>
        </w:rPr>
        <w:t>Family Matters</w:t>
      </w:r>
      <w:r w:rsidRPr="2FC6708B">
        <w:rPr>
          <w:rFonts w:ascii="Roboto" w:eastAsia="Roboto" w:hAnsi="Roboto" w:cs="Roboto"/>
          <w:color w:val="000000"/>
          <w:sz w:val="22"/>
        </w:rPr>
        <w:t xml:space="preserve">, 90, 57-67.  </w:t>
      </w:r>
    </w:p>
    <w:p w14:paraId="4C64FA76" w14:textId="76775FDF" w:rsidR="43725181" w:rsidRDefault="43725181" w:rsidP="2FC6708B">
      <w:pPr>
        <w:spacing w:after="0" w:line="240" w:lineRule="auto"/>
        <w:rPr>
          <w:rFonts w:ascii="Roboto" w:eastAsia="Roboto" w:hAnsi="Roboto" w:cs="Roboto"/>
          <w:color w:val="auto"/>
          <w:sz w:val="22"/>
        </w:rPr>
      </w:pPr>
      <w:proofErr w:type="spellStart"/>
      <w:r w:rsidRPr="2FC6708B">
        <w:rPr>
          <w:rFonts w:ascii="Roboto" w:eastAsia="Roboto" w:hAnsi="Roboto" w:cs="Roboto"/>
          <w:color w:val="auto"/>
          <w:sz w:val="22"/>
        </w:rPr>
        <w:t>Durlak</w:t>
      </w:r>
      <w:proofErr w:type="spellEnd"/>
      <w:r w:rsidRPr="2FC6708B">
        <w:rPr>
          <w:rFonts w:ascii="Roboto" w:eastAsia="Roboto" w:hAnsi="Roboto" w:cs="Roboto"/>
          <w:color w:val="auto"/>
          <w:sz w:val="22"/>
        </w:rPr>
        <w:t xml:space="preserve">, J. A., Mahoney, J. L., &amp; Boyle, A. E. (2022). What we know, and what we need to find out about universal, school-based social and emotional learning programs for children and adolescents: A review of meta-analyses and directions for future research. </w:t>
      </w:r>
      <w:r w:rsidRPr="2FC6708B">
        <w:rPr>
          <w:rFonts w:ascii="Roboto" w:eastAsia="Roboto" w:hAnsi="Roboto" w:cs="Roboto"/>
          <w:i/>
          <w:iCs/>
          <w:color w:val="auto"/>
          <w:sz w:val="22"/>
        </w:rPr>
        <w:t>Psychological Bulletin, 148</w:t>
      </w:r>
      <w:r w:rsidRPr="2FC6708B">
        <w:rPr>
          <w:rFonts w:ascii="Roboto" w:eastAsia="Roboto" w:hAnsi="Roboto" w:cs="Roboto"/>
          <w:color w:val="auto"/>
          <w:sz w:val="22"/>
        </w:rPr>
        <w:t>(11-12), 765–782</w:t>
      </w:r>
      <w:r w:rsidRPr="2FC6708B">
        <w:rPr>
          <w:rFonts w:ascii="Roboto" w:eastAsia="Roboto" w:hAnsi="Roboto" w:cs="Roboto"/>
          <w:color w:val="333333"/>
          <w:sz w:val="22"/>
        </w:rPr>
        <w:t xml:space="preserve">. </w:t>
      </w:r>
      <w:hyperlink r:id="rId21">
        <w:r w:rsidRPr="2FC6708B">
          <w:rPr>
            <w:rStyle w:val="Hyperlink"/>
            <w:rFonts w:ascii="Roboto" w:eastAsia="Roboto" w:hAnsi="Roboto" w:cs="Roboto"/>
            <w:color w:val="2C72B7"/>
            <w:sz w:val="22"/>
            <w:u w:val="none"/>
          </w:rPr>
          <w:t>https://doi.org/10.1037/bul0000383</w:t>
        </w:r>
      </w:hyperlink>
    </w:p>
    <w:p w14:paraId="6805385E" w14:textId="7A911749" w:rsidR="26160C38" w:rsidRDefault="26160C38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01115B5E" w14:textId="64FCFAD7" w:rsidR="6999302B" w:rsidRDefault="43725181" w:rsidP="2FC6708B">
      <w:pPr>
        <w:spacing w:after="0" w:line="240" w:lineRule="auto"/>
        <w:rPr>
          <w:rFonts w:eastAsiaTheme="minorEastAsia"/>
          <w:sz w:val="22"/>
        </w:rPr>
      </w:pPr>
      <w:proofErr w:type="spellStart"/>
      <w:r w:rsidRPr="2FC6708B">
        <w:rPr>
          <w:rFonts w:eastAsiaTheme="minorEastAsia"/>
          <w:color w:val="212121"/>
          <w:sz w:val="22"/>
        </w:rPr>
        <w:t>Durlak</w:t>
      </w:r>
      <w:proofErr w:type="spellEnd"/>
      <w:r w:rsidRPr="2FC6708B">
        <w:rPr>
          <w:rFonts w:eastAsiaTheme="minorEastAsia"/>
          <w:color w:val="212121"/>
          <w:sz w:val="22"/>
        </w:rPr>
        <w:t xml:space="preserve">, J. A., Weissberg, R. P., </w:t>
      </w:r>
      <w:proofErr w:type="spellStart"/>
      <w:r w:rsidRPr="2FC6708B">
        <w:rPr>
          <w:rFonts w:eastAsiaTheme="minorEastAsia"/>
          <w:color w:val="212121"/>
          <w:sz w:val="22"/>
        </w:rPr>
        <w:t>Dymnicki</w:t>
      </w:r>
      <w:proofErr w:type="spellEnd"/>
      <w:r w:rsidRPr="2FC6708B">
        <w:rPr>
          <w:rFonts w:eastAsiaTheme="minorEastAsia"/>
          <w:color w:val="212121"/>
          <w:sz w:val="22"/>
        </w:rPr>
        <w:t xml:space="preserve">, A. B., Taylor, R. D., &amp; </w:t>
      </w:r>
      <w:proofErr w:type="spellStart"/>
      <w:r w:rsidRPr="2FC6708B">
        <w:rPr>
          <w:rFonts w:eastAsiaTheme="minorEastAsia"/>
          <w:color w:val="212121"/>
          <w:sz w:val="22"/>
        </w:rPr>
        <w:t>Schellinger</w:t>
      </w:r>
      <w:proofErr w:type="spellEnd"/>
      <w:r w:rsidRPr="2FC6708B">
        <w:rPr>
          <w:rFonts w:eastAsiaTheme="minorEastAsia"/>
          <w:color w:val="212121"/>
          <w:sz w:val="22"/>
        </w:rPr>
        <w:t xml:space="preserve">, K. B. (2011). The impact of enhancing students' social and emotional learning: a meta-analysis of school-based universal interventions. </w:t>
      </w:r>
      <w:r w:rsidRPr="2FC6708B">
        <w:rPr>
          <w:rFonts w:eastAsiaTheme="minorEastAsia"/>
          <w:i/>
          <w:iCs/>
          <w:color w:val="212121"/>
          <w:sz w:val="22"/>
        </w:rPr>
        <w:t>Child development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82</w:t>
      </w:r>
      <w:r w:rsidRPr="2FC6708B">
        <w:rPr>
          <w:rFonts w:eastAsiaTheme="minorEastAsia"/>
          <w:color w:val="212121"/>
          <w:sz w:val="22"/>
        </w:rPr>
        <w:t xml:space="preserve">(1), 405–432. </w:t>
      </w:r>
      <w:hyperlink r:id="rId22">
        <w:r w:rsidRPr="2FC6708B">
          <w:rPr>
            <w:rStyle w:val="Hyperlink"/>
            <w:rFonts w:eastAsiaTheme="minorEastAsia"/>
            <w:sz w:val="22"/>
          </w:rPr>
          <w:t>https://doi.org/10.1111/j.1467-8624.2010.01564.x</w:t>
        </w:r>
      </w:hyperlink>
    </w:p>
    <w:p w14:paraId="12FCE420" w14:textId="6CB796B8" w:rsidR="6999302B" w:rsidRDefault="6999302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66F8405E" w14:textId="084046D0" w:rsidR="6999302B" w:rsidRDefault="469E8026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Fuhrmann, D., Knoll, L. J., &amp; Blakemore, S. J. (2015). Adolescence as a Sensitive Period of Brain Development. </w:t>
      </w:r>
      <w:r w:rsidRPr="2FC6708B">
        <w:rPr>
          <w:rFonts w:eastAsiaTheme="minorEastAsia"/>
          <w:i/>
          <w:iCs/>
          <w:color w:val="212121"/>
          <w:sz w:val="22"/>
        </w:rPr>
        <w:t>Trends in cognitive sciences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19</w:t>
      </w:r>
      <w:r w:rsidRPr="2FC6708B">
        <w:rPr>
          <w:rFonts w:eastAsiaTheme="minorEastAsia"/>
          <w:color w:val="212121"/>
          <w:sz w:val="22"/>
        </w:rPr>
        <w:t xml:space="preserve">(10), 558–566. </w:t>
      </w:r>
      <w:hyperlink r:id="rId23">
        <w:r w:rsidRPr="2FC6708B">
          <w:rPr>
            <w:rStyle w:val="Hyperlink"/>
            <w:rFonts w:eastAsiaTheme="minorEastAsia"/>
            <w:sz w:val="22"/>
          </w:rPr>
          <w:t>https://doi.org/10.1016/j.tics.2015.07.008</w:t>
        </w:r>
      </w:hyperlink>
    </w:p>
    <w:p w14:paraId="64748736" w14:textId="6710CD53" w:rsidR="6999302B" w:rsidRDefault="6999302B" w:rsidP="2FC6708B">
      <w:pPr>
        <w:spacing w:after="0" w:line="240" w:lineRule="auto"/>
        <w:rPr>
          <w:rFonts w:eastAsiaTheme="minorEastAsia"/>
          <w:color w:val="212121"/>
          <w:sz w:val="22"/>
        </w:rPr>
      </w:pPr>
    </w:p>
    <w:p w14:paraId="1F097B93" w14:textId="2E6E84A1" w:rsidR="200E8E7D" w:rsidRDefault="200E8E7D" w:rsidP="2FC6708B">
      <w:pPr>
        <w:spacing w:after="0" w:line="240" w:lineRule="auto"/>
        <w:rPr>
          <w:rFonts w:ascii="Roboto" w:eastAsia="Roboto" w:hAnsi="Roboto" w:cs="Roboto"/>
          <w:sz w:val="22"/>
        </w:rPr>
      </w:pPr>
      <w:r w:rsidRPr="2FC6708B">
        <w:rPr>
          <w:rFonts w:ascii="Roboto" w:eastAsia="Roboto" w:hAnsi="Roboto" w:cs="Roboto"/>
          <w:color w:val="auto"/>
          <w:sz w:val="22"/>
        </w:rPr>
        <w:t xml:space="preserve">Gable, S. L., &amp; Haidt, J. (2005). What (and why) is positive psychology? </w:t>
      </w:r>
      <w:r w:rsidRPr="2FC6708B">
        <w:rPr>
          <w:rFonts w:ascii="Roboto" w:eastAsia="Roboto" w:hAnsi="Roboto" w:cs="Roboto"/>
          <w:i/>
          <w:iCs/>
          <w:color w:val="auto"/>
          <w:sz w:val="22"/>
        </w:rPr>
        <w:t>Review of General Psychology, 9</w:t>
      </w:r>
      <w:r w:rsidRPr="2FC6708B">
        <w:rPr>
          <w:rFonts w:ascii="Roboto" w:eastAsia="Roboto" w:hAnsi="Roboto" w:cs="Roboto"/>
          <w:color w:val="auto"/>
          <w:sz w:val="22"/>
        </w:rPr>
        <w:t>(2), 103–110.</w:t>
      </w:r>
      <w:r w:rsidRPr="2FC6708B">
        <w:rPr>
          <w:rFonts w:ascii="Roboto" w:eastAsia="Roboto" w:hAnsi="Roboto" w:cs="Roboto"/>
          <w:color w:val="333333"/>
          <w:sz w:val="22"/>
        </w:rPr>
        <w:t xml:space="preserve"> </w:t>
      </w:r>
      <w:hyperlink r:id="rId24">
        <w:r w:rsidRPr="2FC6708B">
          <w:rPr>
            <w:rStyle w:val="Hyperlink"/>
            <w:rFonts w:ascii="Roboto" w:eastAsia="Roboto" w:hAnsi="Roboto" w:cs="Roboto"/>
            <w:color w:val="2C72B7"/>
            <w:sz w:val="22"/>
            <w:u w:val="none"/>
          </w:rPr>
          <w:t>https://doi.org/10.1037/1089-2680.9.2.103</w:t>
        </w:r>
      </w:hyperlink>
    </w:p>
    <w:p w14:paraId="59888944" w14:textId="1CD08066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6011EBCA" w14:textId="21CA8034" w:rsidR="6999302B" w:rsidRDefault="5CF51BEC" w:rsidP="2FC6708B">
      <w:pPr>
        <w:spacing w:line="257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Gibbons, S., &amp; </w:t>
      </w:r>
      <w:proofErr w:type="spellStart"/>
      <w:r w:rsidRPr="2FC6708B">
        <w:rPr>
          <w:rFonts w:eastAsiaTheme="minorEastAsia"/>
          <w:color w:val="auto"/>
          <w:sz w:val="22"/>
        </w:rPr>
        <w:t>Telhaj</w:t>
      </w:r>
      <w:proofErr w:type="spellEnd"/>
      <w:r w:rsidRPr="2FC6708B">
        <w:rPr>
          <w:rFonts w:eastAsiaTheme="minorEastAsia"/>
          <w:color w:val="auto"/>
          <w:sz w:val="22"/>
        </w:rPr>
        <w:t xml:space="preserve">, S. (2016). Peer effects: Evidence from secondary school transition in England. </w:t>
      </w:r>
      <w:r w:rsidRPr="2FC6708B">
        <w:rPr>
          <w:rFonts w:eastAsiaTheme="minorEastAsia"/>
          <w:i/>
          <w:iCs/>
          <w:color w:val="auto"/>
          <w:sz w:val="22"/>
        </w:rPr>
        <w:t>Oxford Bulletin of Economics and Statistics</w:t>
      </w:r>
      <w:r w:rsidRPr="2FC6708B">
        <w:rPr>
          <w:rFonts w:eastAsiaTheme="minorEastAsia"/>
          <w:color w:val="auto"/>
          <w:sz w:val="22"/>
        </w:rPr>
        <w:t>, 78(4), 548-575.</w:t>
      </w:r>
      <w:r w:rsidRPr="2FC6708B">
        <w:rPr>
          <w:rFonts w:eastAsiaTheme="minorEastAsia"/>
          <w:sz w:val="22"/>
        </w:rPr>
        <w:t xml:space="preserve"> </w:t>
      </w:r>
      <w:hyperlink r:id="rId25">
        <w:r w:rsidRPr="2FC6708B">
          <w:rPr>
            <w:rStyle w:val="Hyperlink"/>
            <w:rFonts w:eastAsiaTheme="minorEastAsia"/>
            <w:color w:val="0563C1"/>
            <w:sz w:val="22"/>
          </w:rPr>
          <w:t>https://doi.org/10.1111/obes.12095</w:t>
        </w:r>
      </w:hyperlink>
    </w:p>
    <w:p w14:paraId="2A3657C9" w14:textId="45FD9316" w:rsidR="6999302B" w:rsidRDefault="0058DEF1" w:rsidP="2FC6708B">
      <w:pPr>
        <w:spacing w:line="257" w:lineRule="auto"/>
        <w:rPr>
          <w:rFonts w:ascii="Roboto" w:eastAsia="Roboto" w:hAnsi="Roboto" w:cs="Roboto"/>
          <w:color w:val="000000"/>
          <w:sz w:val="22"/>
        </w:rPr>
      </w:pPr>
      <w:r w:rsidRPr="2FC6708B">
        <w:rPr>
          <w:rFonts w:ascii="Roboto" w:eastAsia="Roboto" w:hAnsi="Roboto" w:cs="Roboto"/>
          <w:color w:val="000000"/>
          <w:sz w:val="22"/>
        </w:rPr>
        <w:t xml:space="preserve">Hirst, M., Jervis, N., Visagie, K., </w:t>
      </w:r>
      <w:proofErr w:type="spellStart"/>
      <w:r w:rsidRPr="2FC6708B">
        <w:rPr>
          <w:rFonts w:ascii="Roboto" w:eastAsia="Roboto" w:hAnsi="Roboto" w:cs="Roboto"/>
          <w:color w:val="000000"/>
          <w:sz w:val="22"/>
        </w:rPr>
        <w:t>Sojo</w:t>
      </w:r>
      <w:proofErr w:type="spellEnd"/>
      <w:r w:rsidRPr="2FC6708B">
        <w:rPr>
          <w:rFonts w:ascii="Roboto" w:eastAsia="Roboto" w:hAnsi="Roboto" w:cs="Roboto"/>
          <w:color w:val="000000"/>
          <w:sz w:val="22"/>
        </w:rPr>
        <w:t xml:space="preserve">, V., &amp; Cavanagh, S. (2011). </w:t>
      </w:r>
      <w:r w:rsidRPr="2FC6708B">
        <w:rPr>
          <w:rFonts w:ascii="Roboto" w:eastAsia="Roboto" w:hAnsi="Roboto" w:cs="Roboto"/>
          <w:i/>
          <w:iCs/>
          <w:color w:val="000000"/>
          <w:sz w:val="22"/>
        </w:rPr>
        <w:t xml:space="preserve">Transition to primary school: A review of the literature. </w:t>
      </w:r>
      <w:r w:rsidRPr="2FC6708B">
        <w:rPr>
          <w:rFonts w:ascii="Roboto" w:eastAsia="Roboto" w:hAnsi="Roboto" w:cs="Roboto"/>
          <w:color w:val="000000"/>
          <w:sz w:val="22"/>
        </w:rPr>
        <w:t>Canberra: Australian Government Department of Health and Ageing.</w:t>
      </w:r>
    </w:p>
    <w:p w14:paraId="11412189" w14:textId="49EA238B" w:rsidR="6999302B" w:rsidRDefault="3FE17D3A" w:rsidP="2FC6708B">
      <w:pPr>
        <w:spacing w:after="0" w:line="240" w:lineRule="auto"/>
        <w:rPr>
          <w:rFonts w:eastAsiaTheme="minorEastAsia"/>
          <w:color w:val="212121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Johnson M. H. (2001). Functional brain development in humans. </w:t>
      </w:r>
      <w:r w:rsidRPr="2FC6708B">
        <w:rPr>
          <w:rFonts w:eastAsiaTheme="minorEastAsia"/>
          <w:i/>
          <w:iCs/>
          <w:color w:val="212121"/>
          <w:sz w:val="22"/>
        </w:rPr>
        <w:t>Nature reviews. Neuroscience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2</w:t>
      </w:r>
      <w:r w:rsidRPr="2FC6708B">
        <w:rPr>
          <w:rFonts w:eastAsiaTheme="minorEastAsia"/>
          <w:color w:val="212121"/>
          <w:sz w:val="22"/>
        </w:rPr>
        <w:t xml:space="preserve">(7), 475–483. </w:t>
      </w:r>
      <w:hyperlink r:id="rId26">
        <w:r w:rsidRPr="2FC6708B">
          <w:rPr>
            <w:rStyle w:val="Hyperlink"/>
            <w:rFonts w:eastAsiaTheme="minorEastAsia"/>
            <w:sz w:val="22"/>
          </w:rPr>
          <w:t>https://doi.org/10.1038/35081509</w:t>
        </w:r>
      </w:hyperlink>
    </w:p>
    <w:p w14:paraId="14789608" w14:textId="3D845334" w:rsidR="6999302B" w:rsidRDefault="6999302B" w:rsidP="2FC6708B">
      <w:pPr>
        <w:spacing w:after="0" w:line="240" w:lineRule="auto"/>
        <w:rPr>
          <w:rFonts w:eastAsiaTheme="minorEastAsia"/>
          <w:color w:val="212121"/>
          <w:sz w:val="22"/>
        </w:rPr>
      </w:pPr>
    </w:p>
    <w:p w14:paraId="7F3A9E9D" w14:textId="79ECA987" w:rsidR="53075D63" w:rsidRDefault="53075D63" w:rsidP="2FC6708B">
      <w:pPr>
        <w:spacing w:after="0" w:line="240" w:lineRule="auto"/>
        <w:rPr>
          <w:rFonts w:eastAsiaTheme="minorEastAsia"/>
          <w:sz w:val="22"/>
        </w:rPr>
      </w:pPr>
      <w:proofErr w:type="spellStart"/>
      <w:r w:rsidRPr="2FC6708B">
        <w:rPr>
          <w:rFonts w:eastAsiaTheme="minorEastAsia"/>
          <w:color w:val="212121"/>
          <w:sz w:val="22"/>
        </w:rPr>
        <w:t>Kuyken</w:t>
      </w:r>
      <w:proofErr w:type="spellEnd"/>
      <w:r w:rsidRPr="2FC6708B">
        <w:rPr>
          <w:rFonts w:eastAsiaTheme="minorEastAsia"/>
          <w:color w:val="212121"/>
          <w:sz w:val="22"/>
        </w:rPr>
        <w:t xml:space="preserve">, W., </w:t>
      </w:r>
      <w:proofErr w:type="spellStart"/>
      <w:r w:rsidRPr="2FC6708B">
        <w:rPr>
          <w:rFonts w:eastAsiaTheme="minorEastAsia"/>
          <w:color w:val="212121"/>
          <w:sz w:val="22"/>
        </w:rPr>
        <w:t>Weare</w:t>
      </w:r>
      <w:proofErr w:type="spellEnd"/>
      <w:r w:rsidRPr="2FC6708B">
        <w:rPr>
          <w:rFonts w:eastAsiaTheme="minorEastAsia"/>
          <w:color w:val="212121"/>
          <w:sz w:val="22"/>
        </w:rPr>
        <w:t xml:space="preserve">, K., </w:t>
      </w:r>
      <w:proofErr w:type="spellStart"/>
      <w:r w:rsidRPr="2FC6708B">
        <w:rPr>
          <w:rFonts w:eastAsiaTheme="minorEastAsia"/>
          <w:color w:val="212121"/>
          <w:sz w:val="22"/>
        </w:rPr>
        <w:t>Ukoumunne</w:t>
      </w:r>
      <w:proofErr w:type="spellEnd"/>
      <w:r w:rsidRPr="2FC6708B">
        <w:rPr>
          <w:rFonts w:eastAsiaTheme="minorEastAsia"/>
          <w:color w:val="212121"/>
          <w:sz w:val="22"/>
        </w:rPr>
        <w:t xml:space="preserve">, O. C., Vicary, R., </w:t>
      </w:r>
      <w:proofErr w:type="spellStart"/>
      <w:r w:rsidRPr="2FC6708B">
        <w:rPr>
          <w:rFonts w:eastAsiaTheme="minorEastAsia"/>
          <w:color w:val="212121"/>
          <w:sz w:val="22"/>
        </w:rPr>
        <w:t>Motton</w:t>
      </w:r>
      <w:proofErr w:type="spellEnd"/>
      <w:r w:rsidRPr="2FC6708B">
        <w:rPr>
          <w:rFonts w:eastAsiaTheme="minorEastAsia"/>
          <w:color w:val="212121"/>
          <w:sz w:val="22"/>
        </w:rPr>
        <w:t xml:space="preserve">, N., Burnett, R., Cullen, C., Hennelly, S., &amp; Huppert, F. (2013). Effectiveness of the Mindfulness in Schools Programme: non-randomised controlled feasibility study. </w:t>
      </w:r>
      <w:r w:rsidRPr="2FC6708B">
        <w:rPr>
          <w:rFonts w:eastAsiaTheme="minorEastAsia"/>
          <w:i/>
          <w:iCs/>
          <w:color w:val="212121"/>
          <w:sz w:val="22"/>
        </w:rPr>
        <w:t>The British journal of psychiatry: the journal of mental science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203</w:t>
      </w:r>
      <w:r w:rsidRPr="2FC6708B">
        <w:rPr>
          <w:rFonts w:eastAsiaTheme="minorEastAsia"/>
          <w:color w:val="212121"/>
          <w:sz w:val="22"/>
        </w:rPr>
        <w:t xml:space="preserve">(2), 126–131. </w:t>
      </w:r>
      <w:hyperlink r:id="rId27">
        <w:r w:rsidRPr="2FC6708B">
          <w:rPr>
            <w:rStyle w:val="Hyperlink"/>
            <w:rFonts w:eastAsiaTheme="minorEastAsia"/>
            <w:sz w:val="22"/>
          </w:rPr>
          <w:t>https://doi.org/10.1192/bjp.bp.113.126649</w:t>
        </w:r>
      </w:hyperlink>
    </w:p>
    <w:p w14:paraId="5E987B7D" w14:textId="58242725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2D511C7D" w14:textId="7A90BCFE" w:rsidR="6999302B" w:rsidRDefault="7485DD52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Lester, L., &amp; Cross, D. (2015). The Relationship Between School Climate and Mental and Emotional Wellbeing Over the Transition from Primary to Secondary School. </w:t>
      </w:r>
      <w:r w:rsidRPr="2FC6708B">
        <w:rPr>
          <w:rFonts w:eastAsiaTheme="minorEastAsia"/>
          <w:i/>
          <w:iCs/>
          <w:color w:val="auto"/>
          <w:sz w:val="22"/>
        </w:rPr>
        <w:t>Psychology of well-being</w:t>
      </w:r>
      <w:r w:rsidRPr="2FC6708B">
        <w:rPr>
          <w:rFonts w:eastAsiaTheme="minorEastAsia"/>
          <w:color w:val="auto"/>
          <w:sz w:val="22"/>
        </w:rPr>
        <w:t xml:space="preserve">, </w:t>
      </w:r>
      <w:r w:rsidRPr="2FC6708B">
        <w:rPr>
          <w:rFonts w:eastAsiaTheme="minorEastAsia"/>
          <w:i/>
          <w:iCs/>
          <w:color w:val="auto"/>
          <w:sz w:val="22"/>
        </w:rPr>
        <w:t>5</w:t>
      </w:r>
      <w:r w:rsidRPr="2FC6708B">
        <w:rPr>
          <w:rFonts w:eastAsiaTheme="minorEastAsia"/>
          <w:color w:val="auto"/>
          <w:sz w:val="22"/>
        </w:rPr>
        <w:t>(1), 9.</w:t>
      </w:r>
      <w:r w:rsidRPr="2FC6708B">
        <w:rPr>
          <w:rFonts w:eastAsiaTheme="minorEastAsia"/>
          <w:color w:val="212121"/>
          <w:sz w:val="22"/>
        </w:rPr>
        <w:t xml:space="preserve"> </w:t>
      </w:r>
      <w:hyperlink r:id="rId28">
        <w:r w:rsidRPr="2FC6708B">
          <w:rPr>
            <w:rStyle w:val="Hyperlink"/>
            <w:rFonts w:eastAsiaTheme="minorEastAsia"/>
            <w:sz w:val="22"/>
          </w:rPr>
          <w:t>https://doi.org/10.1186/s13612-015-0037-8</w:t>
        </w:r>
      </w:hyperlink>
    </w:p>
    <w:p w14:paraId="2CFBDA0E" w14:textId="376F1FA9" w:rsidR="6999302B" w:rsidRDefault="6999302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46E8492" w14:textId="00856A6B" w:rsidR="6999302B" w:rsidRDefault="596DF3C7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Merry, S., McDowell, H., Hetrick, S., Bir, J., &amp; Muller, N. (2004). Psychological and/or educational interventions for the prevention of depression in children and adolescents. </w:t>
      </w:r>
      <w:r w:rsidRPr="2FC6708B">
        <w:rPr>
          <w:rFonts w:eastAsiaTheme="minorEastAsia"/>
          <w:i/>
          <w:iCs/>
          <w:color w:val="212121"/>
          <w:sz w:val="22"/>
        </w:rPr>
        <w:t>The Cochrane database of systematic reviews</w:t>
      </w:r>
      <w:r w:rsidRPr="2FC6708B">
        <w:rPr>
          <w:rFonts w:eastAsiaTheme="minorEastAsia"/>
          <w:color w:val="212121"/>
          <w:sz w:val="22"/>
        </w:rPr>
        <w:t xml:space="preserve">, (1), CD003380. </w:t>
      </w:r>
      <w:hyperlink r:id="rId29">
        <w:r w:rsidRPr="2FC6708B">
          <w:rPr>
            <w:rStyle w:val="Hyperlink"/>
            <w:rFonts w:eastAsiaTheme="minorEastAsia"/>
            <w:sz w:val="22"/>
          </w:rPr>
          <w:t>https://doi.org/10.1002/14651858.CD003380.pub2</w:t>
        </w:r>
      </w:hyperlink>
    </w:p>
    <w:p w14:paraId="3C5B823E" w14:textId="35219DE7" w:rsidR="6999302B" w:rsidRDefault="6999302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7C0596CB" w14:textId="43DECF97" w:rsidR="0766984A" w:rsidRDefault="596DF3C7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Meyer I. H. (2003). Prejudice, social stress, and mental health in lesbian, gay, and bisexual populations: conceptual issues and research evidence. </w:t>
      </w:r>
      <w:r w:rsidRPr="2FC6708B">
        <w:rPr>
          <w:rFonts w:eastAsiaTheme="minorEastAsia"/>
          <w:i/>
          <w:iCs/>
          <w:color w:val="212121"/>
          <w:sz w:val="22"/>
        </w:rPr>
        <w:t>Psychological bulletin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129</w:t>
      </w:r>
      <w:r w:rsidRPr="2FC6708B">
        <w:rPr>
          <w:rFonts w:eastAsiaTheme="minorEastAsia"/>
          <w:color w:val="212121"/>
          <w:sz w:val="22"/>
        </w:rPr>
        <w:t xml:space="preserve">(5), 674–697. </w:t>
      </w:r>
      <w:hyperlink r:id="rId30">
        <w:r w:rsidRPr="2FC6708B">
          <w:rPr>
            <w:rStyle w:val="Hyperlink"/>
            <w:rFonts w:eastAsiaTheme="minorEastAsia"/>
            <w:sz w:val="22"/>
          </w:rPr>
          <w:t>https://doi.org/10.1037/0033-2909.129.5.674</w:t>
        </w:r>
      </w:hyperlink>
    </w:p>
    <w:p w14:paraId="530D0788" w14:textId="28037E6B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7409FE35" w14:textId="33AD8EA7" w:rsidR="0766984A" w:rsidRDefault="52A1EE6C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Morin, A. </w:t>
      </w:r>
      <w:r w:rsidR="2E9E0E4B" w:rsidRPr="2FC6708B">
        <w:rPr>
          <w:rFonts w:eastAsiaTheme="minorEastAsia"/>
          <w:color w:val="auto"/>
          <w:sz w:val="22"/>
        </w:rPr>
        <w:t>(2022</w:t>
      </w:r>
      <w:r w:rsidRPr="2FC6708B">
        <w:rPr>
          <w:rFonts w:eastAsiaTheme="minorEastAsia"/>
          <w:color w:val="auto"/>
          <w:sz w:val="22"/>
        </w:rPr>
        <w:t xml:space="preserve">). </w:t>
      </w:r>
      <w:r w:rsidRPr="2FC6708B">
        <w:rPr>
          <w:rFonts w:eastAsiaTheme="minorEastAsia"/>
          <w:i/>
          <w:iCs/>
          <w:color w:val="auto"/>
          <w:sz w:val="22"/>
        </w:rPr>
        <w:t xml:space="preserve">What is growth mindset? </w:t>
      </w:r>
      <w:r w:rsidRPr="2FC6708B">
        <w:rPr>
          <w:rFonts w:eastAsiaTheme="minorEastAsia"/>
          <w:color w:val="auto"/>
          <w:sz w:val="22"/>
        </w:rPr>
        <w:t>Underst</w:t>
      </w:r>
      <w:r w:rsidR="7D47AFD3" w:rsidRPr="2FC6708B">
        <w:rPr>
          <w:rFonts w:eastAsiaTheme="minorEastAsia"/>
          <w:color w:val="auto"/>
          <w:sz w:val="22"/>
        </w:rPr>
        <w:t>oo</w:t>
      </w:r>
      <w:r w:rsidRPr="2FC6708B">
        <w:rPr>
          <w:rFonts w:eastAsiaTheme="minorEastAsia"/>
          <w:color w:val="auto"/>
          <w:sz w:val="22"/>
        </w:rPr>
        <w:t xml:space="preserve">d. </w:t>
      </w:r>
      <w:hyperlink r:id="rId31">
        <w:r w:rsidRPr="2FC6708B">
          <w:rPr>
            <w:rStyle w:val="Hyperlink"/>
            <w:rFonts w:eastAsiaTheme="minorEastAsia"/>
            <w:color w:val="auto"/>
            <w:sz w:val="22"/>
          </w:rPr>
          <w:t>https://www.understood.org/en/articles/growth-mindset</w:t>
        </w:r>
      </w:hyperlink>
    </w:p>
    <w:p w14:paraId="466F92AB" w14:textId="335B7BEB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22A137E5" w14:textId="3EDEF626" w:rsidR="6999302B" w:rsidRDefault="773C12EF" w:rsidP="2FC6708B">
      <w:pPr>
        <w:spacing w:after="0" w:line="240" w:lineRule="auto"/>
      </w:pPr>
      <w:r w:rsidRPr="2FC6708B">
        <w:rPr>
          <w:rFonts w:ascii="Roboto" w:eastAsia="Roboto" w:hAnsi="Roboto" w:cs="Roboto"/>
          <w:color w:val="000000"/>
          <w:sz w:val="22"/>
        </w:rPr>
        <w:t xml:space="preserve">New Zealand Government Education Review Office. (2012). Evaluation </w:t>
      </w:r>
      <w:proofErr w:type="gramStart"/>
      <w:r w:rsidRPr="2FC6708B">
        <w:rPr>
          <w:rFonts w:ascii="Roboto" w:eastAsia="Roboto" w:hAnsi="Roboto" w:cs="Roboto"/>
          <w:sz w:val="22"/>
        </w:rPr>
        <w:t>at a Glance</w:t>
      </w:r>
      <w:proofErr w:type="gramEnd"/>
      <w:r w:rsidRPr="2FC6708B">
        <w:rPr>
          <w:rFonts w:ascii="Roboto" w:eastAsia="Roboto" w:hAnsi="Roboto" w:cs="Roboto"/>
          <w:sz w:val="22"/>
        </w:rPr>
        <w:t>: Transitions from Primary to Secondary School. Wellington: Education Review Office.</w:t>
      </w:r>
    </w:p>
    <w:p w14:paraId="32305A34" w14:textId="3F861E62" w:rsidR="6999302B" w:rsidRDefault="6999302B" w:rsidP="2FC6708B">
      <w:pPr>
        <w:spacing w:after="0" w:line="240" w:lineRule="auto"/>
        <w:rPr>
          <w:rFonts w:eastAsiaTheme="minorEastAsia"/>
          <w:color w:val="212121"/>
          <w:sz w:val="22"/>
        </w:rPr>
      </w:pPr>
    </w:p>
    <w:p w14:paraId="6C2EE188" w14:textId="46BA4541" w:rsidR="6999302B" w:rsidRDefault="414D9F55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Payton, J. W., Wardlaw, D. M., </w:t>
      </w:r>
      <w:proofErr w:type="spellStart"/>
      <w:r w:rsidRPr="2FC6708B">
        <w:rPr>
          <w:rFonts w:eastAsiaTheme="minorEastAsia"/>
          <w:color w:val="212121"/>
          <w:sz w:val="22"/>
        </w:rPr>
        <w:t>Graczyk</w:t>
      </w:r>
      <w:proofErr w:type="spellEnd"/>
      <w:r w:rsidRPr="2FC6708B">
        <w:rPr>
          <w:rFonts w:eastAsiaTheme="minorEastAsia"/>
          <w:color w:val="212121"/>
          <w:sz w:val="22"/>
        </w:rPr>
        <w:t xml:space="preserve">, P. A., Bloodworth, M. R., </w:t>
      </w:r>
      <w:proofErr w:type="spellStart"/>
      <w:r w:rsidRPr="2FC6708B">
        <w:rPr>
          <w:rFonts w:eastAsiaTheme="minorEastAsia"/>
          <w:color w:val="212121"/>
          <w:sz w:val="22"/>
        </w:rPr>
        <w:t>Tompsett</w:t>
      </w:r>
      <w:proofErr w:type="spellEnd"/>
      <w:r w:rsidRPr="2FC6708B">
        <w:rPr>
          <w:rFonts w:eastAsiaTheme="minorEastAsia"/>
          <w:color w:val="212121"/>
          <w:sz w:val="22"/>
        </w:rPr>
        <w:t xml:space="preserve">, C. J., &amp; Weissberg, R. P. (2000). Social and emotional learning: a framework for promoting mental health and reducing risk </w:t>
      </w:r>
      <w:proofErr w:type="spellStart"/>
      <w:r w:rsidRPr="2FC6708B">
        <w:rPr>
          <w:rFonts w:eastAsiaTheme="minorEastAsia"/>
          <w:color w:val="212121"/>
          <w:sz w:val="22"/>
        </w:rPr>
        <w:t>behavior</w:t>
      </w:r>
      <w:proofErr w:type="spellEnd"/>
      <w:r w:rsidRPr="2FC6708B">
        <w:rPr>
          <w:rFonts w:eastAsiaTheme="minorEastAsia"/>
          <w:color w:val="212121"/>
          <w:sz w:val="22"/>
        </w:rPr>
        <w:t xml:space="preserve"> in children and youth. </w:t>
      </w:r>
      <w:r w:rsidRPr="2FC6708B">
        <w:rPr>
          <w:rFonts w:eastAsiaTheme="minorEastAsia"/>
          <w:i/>
          <w:iCs/>
          <w:color w:val="212121"/>
          <w:sz w:val="22"/>
        </w:rPr>
        <w:t>The Journal of school health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70</w:t>
      </w:r>
      <w:r w:rsidRPr="2FC6708B">
        <w:rPr>
          <w:rFonts w:eastAsiaTheme="minorEastAsia"/>
          <w:color w:val="212121"/>
          <w:sz w:val="22"/>
        </w:rPr>
        <w:t xml:space="preserve">(5), 179–185. </w:t>
      </w:r>
      <w:hyperlink r:id="rId32">
        <w:r w:rsidRPr="2FC6708B">
          <w:rPr>
            <w:rStyle w:val="Hyperlink"/>
            <w:rFonts w:eastAsiaTheme="minorEastAsia"/>
            <w:sz w:val="22"/>
          </w:rPr>
          <w:t>https://doi.org/10.1111/j.1746-1561.2000.tb06468.x</w:t>
        </w:r>
      </w:hyperlink>
    </w:p>
    <w:p w14:paraId="1211FC8C" w14:textId="676F7360" w:rsidR="6999302B" w:rsidRDefault="6999302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36C055FC" w14:textId="2D9A99E0" w:rsidR="6999302B" w:rsidRDefault="5FAB5189" w:rsidP="2FC6708B">
      <w:pPr>
        <w:spacing w:line="257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Perry, B., Dockett, S., &amp; </w:t>
      </w:r>
      <w:proofErr w:type="spellStart"/>
      <w:r w:rsidRPr="2FC6708B">
        <w:rPr>
          <w:rFonts w:eastAsiaTheme="minorEastAsia"/>
          <w:color w:val="auto"/>
          <w:sz w:val="22"/>
        </w:rPr>
        <w:t>Petriwskyj</w:t>
      </w:r>
      <w:proofErr w:type="spellEnd"/>
      <w:r w:rsidRPr="2FC6708B">
        <w:rPr>
          <w:rFonts w:eastAsiaTheme="minorEastAsia"/>
          <w:color w:val="auto"/>
          <w:sz w:val="22"/>
        </w:rPr>
        <w:t>, A. (Eds.). (2014).</w:t>
      </w:r>
      <w:r w:rsidRPr="2FC6708B">
        <w:rPr>
          <w:rFonts w:eastAsiaTheme="minorEastAsia"/>
          <w:i/>
          <w:iCs/>
          <w:color w:val="auto"/>
          <w:sz w:val="22"/>
        </w:rPr>
        <w:t xml:space="preserve"> Transitions to school: International research, </w:t>
      </w:r>
      <w:proofErr w:type="gramStart"/>
      <w:r w:rsidRPr="2FC6708B">
        <w:rPr>
          <w:rFonts w:eastAsiaTheme="minorEastAsia"/>
          <w:i/>
          <w:iCs/>
          <w:color w:val="auto"/>
          <w:sz w:val="22"/>
        </w:rPr>
        <w:t>policy</w:t>
      </w:r>
      <w:proofErr w:type="gramEnd"/>
      <w:r w:rsidRPr="2FC6708B">
        <w:rPr>
          <w:rFonts w:eastAsiaTheme="minorEastAsia"/>
          <w:i/>
          <w:iCs/>
          <w:color w:val="auto"/>
          <w:sz w:val="22"/>
        </w:rPr>
        <w:t xml:space="preserve"> and practice.</w:t>
      </w:r>
      <w:r w:rsidRPr="2FC6708B">
        <w:rPr>
          <w:rFonts w:eastAsiaTheme="minorEastAsia"/>
          <w:color w:val="auto"/>
          <w:sz w:val="22"/>
        </w:rPr>
        <w:t xml:space="preserve"> Dordrecht, The Netherlands: Springer.  </w:t>
      </w:r>
    </w:p>
    <w:p w14:paraId="7A88B1F2" w14:textId="56DE1F6B" w:rsidR="6999302B" w:rsidRDefault="0766984A" w:rsidP="2FC6708B">
      <w:pPr>
        <w:spacing w:after="0" w:line="240" w:lineRule="auto"/>
        <w:rPr>
          <w:rFonts w:eastAsiaTheme="minorEastAsia"/>
          <w:sz w:val="22"/>
        </w:rPr>
      </w:pPr>
      <w:proofErr w:type="spellStart"/>
      <w:r w:rsidRPr="2FC6708B">
        <w:rPr>
          <w:rFonts w:eastAsiaTheme="minorEastAsia"/>
          <w:color w:val="auto"/>
          <w:sz w:val="22"/>
        </w:rPr>
        <w:t>Rosenstreich</w:t>
      </w:r>
      <w:proofErr w:type="spellEnd"/>
      <w:r w:rsidRPr="2FC6708B">
        <w:rPr>
          <w:rFonts w:eastAsiaTheme="minorEastAsia"/>
          <w:color w:val="auto"/>
          <w:sz w:val="22"/>
        </w:rPr>
        <w:t xml:space="preserve">, G. (2013). </w:t>
      </w:r>
      <w:r w:rsidRPr="2FC6708B">
        <w:rPr>
          <w:rFonts w:eastAsiaTheme="minorEastAsia"/>
          <w:i/>
          <w:iCs/>
          <w:color w:val="auto"/>
          <w:sz w:val="22"/>
        </w:rPr>
        <w:t xml:space="preserve">LGBTI people, mental </w:t>
      </w:r>
      <w:proofErr w:type="gramStart"/>
      <w:r w:rsidRPr="2FC6708B">
        <w:rPr>
          <w:rFonts w:eastAsiaTheme="minorEastAsia"/>
          <w:i/>
          <w:iCs/>
          <w:color w:val="auto"/>
          <w:sz w:val="22"/>
        </w:rPr>
        <w:t>health</w:t>
      </w:r>
      <w:proofErr w:type="gramEnd"/>
      <w:r w:rsidRPr="2FC6708B">
        <w:rPr>
          <w:rFonts w:eastAsiaTheme="minorEastAsia"/>
          <w:i/>
          <w:iCs/>
          <w:color w:val="auto"/>
          <w:sz w:val="22"/>
        </w:rPr>
        <w:t xml:space="preserve"> and suicide: Briefing paper. </w:t>
      </w:r>
      <w:r w:rsidRPr="2FC6708B">
        <w:rPr>
          <w:rFonts w:eastAsiaTheme="minorEastAsia"/>
          <w:color w:val="auto"/>
          <w:sz w:val="22"/>
        </w:rPr>
        <w:t xml:space="preserve">Sydney: National LGBTI Health Alliance. </w:t>
      </w:r>
    </w:p>
    <w:p w14:paraId="4D31E34F" w14:textId="6D0C7CC3" w:rsidR="6999302B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 </w:t>
      </w:r>
    </w:p>
    <w:p w14:paraId="744C5186" w14:textId="3BE5EE21" w:rsidR="0766984A" w:rsidRDefault="406A6AC9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Sawyer, S. M., Afifi, R. A., Bearinger, L. H., Blakemore, S. J., Dick, B., </w:t>
      </w:r>
      <w:proofErr w:type="spellStart"/>
      <w:r w:rsidRPr="2FC6708B">
        <w:rPr>
          <w:rFonts w:eastAsiaTheme="minorEastAsia"/>
          <w:color w:val="auto"/>
          <w:sz w:val="22"/>
        </w:rPr>
        <w:t>Ezeh</w:t>
      </w:r>
      <w:proofErr w:type="spellEnd"/>
      <w:r w:rsidRPr="2FC6708B">
        <w:rPr>
          <w:rFonts w:eastAsiaTheme="minorEastAsia"/>
          <w:color w:val="auto"/>
          <w:sz w:val="22"/>
        </w:rPr>
        <w:t xml:space="preserve">, A. C., &amp; Patton, G. C. (2012). Adolescence: a foundation for future health. </w:t>
      </w:r>
      <w:r w:rsidRPr="2FC6708B">
        <w:rPr>
          <w:rFonts w:eastAsiaTheme="minorEastAsia"/>
          <w:i/>
          <w:iCs/>
          <w:color w:val="auto"/>
          <w:sz w:val="22"/>
        </w:rPr>
        <w:t>Lancet (London, England)</w:t>
      </w:r>
      <w:r w:rsidRPr="2FC6708B">
        <w:rPr>
          <w:rFonts w:eastAsiaTheme="minorEastAsia"/>
          <w:color w:val="auto"/>
          <w:sz w:val="22"/>
        </w:rPr>
        <w:t xml:space="preserve">, </w:t>
      </w:r>
      <w:r w:rsidRPr="2FC6708B">
        <w:rPr>
          <w:rFonts w:eastAsiaTheme="minorEastAsia"/>
          <w:i/>
          <w:iCs/>
          <w:color w:val="auto"/>
          <w:sz w:val="22"/>
        </w:rPr>
        <w:t>379</w:t>
      </w:r>
      <w:r w:rsidRPr="2FC6708B">
        <w:rPr>
          <w:rFonts w:eastAsiaTheme="minorEastAsia"/>
          <w:color w:val="auto"/>
          <w:sz w:val="22"/>
        </w:rPr>
        <w:t>(9826), 1630–1640.</w:t>
      </w:r>
      <w:r w:rsidRPr="2FC6708B">
        <w:rPr>
          <w:rFonts w:eastAsiaTheme="minorEastAsia"/>
          <w:color w:val="212121"/>
          <w:sz w:val="22"/>
        </w:rPr>
        <w:t xml:space="preserve"> </w:t>
      </w:r>
      <w:hyperlink r:id="rId33">
        <w:r w:rsidRPr="2FC6708B">
          <w:rPr>
            <w:rStyle w:val="Hyperlink"/>
            <w:rFonts w:eastAsiaTheme="minorEastAsia"/>
            <w:sz w:val="22"/>
          </w:rPr>
          <w:t>https://doi.org/10.1016/S0140-6736(12)60072-5</w:t>
        </w:r>
      </w:hyperlink>
    </w:p>
    <w:p w14:paraId="7FCCB6CD" w14:textId="5FE5A939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 </w:t>
      </w:r>
    </w:p>
    <w:p w14:paraId="324D20AC" w14:textId="73AB61AC" w:rsidR="2E4261CA" w:rsidRDefault="2E4261CA" w:rsidP="2FC6708B">
      <w:pPr>
        <w:spacing w:line="257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Sayers, M., West, S., </w:t>
      </w:r>
      <w:proofErr w:type="spellStart"/>
      <w:r w:rsidRPr="2FC6708B">
        <w:rPr>
          <w:rFonts w:eastAsiaTheme="minorEastAsia"/>
          <w:color w:val="auto"/>
          <w:sz w:val="22"/>
        </w:rPr>
        <w:t>Lorains</w:t>
      </w:r>
      <w:proofErr w:type="spellEnd"/>
      <w:r w:rsidRPr="2FC6708B">
        <w:rPr>
          <w:rFonts w:eastAsiaTheme="minorEastAsia"/>
          <w:color w:val="auto"/>
          <w:sz w:val="22"/>
        </w:rPr>
        <w:t xml:space="preserve">, J., Laidlaw, B., Moore, T.G., &amp; Robinson, R. (2012). Starting school: A pivotal life transition for children and their families. </w:t>
      </w:r>
      <w:r w:rsidRPr="2FC6708B">
        <w:rPr>
          <w:rFonts w:eastAsiaTheme="minorEastAsia"/>
          <w:i/>
          <w:iCs/>
          <w:color w:val="auto"/>
          <w:sz w:val="22"/>
        </w:rPr>
        <w:t>Family Matters</w:t>
      </w:r>
      <w:r w:rsidRPr="2FC6708B">
        <w:rPr>
          <w:rFonts w:eastAsiaTheme="minorEastAsia"/>
          <w:color w:val="auto"/>
          <w:sz w:val="22"/>
        </w:rPr>
        <w:t xml:space="preserve">, 90, 45-56.  </w:t>
      </w:r>
    </w:p>
    <w:p w14:paraId="36D8482D" w14:textId="1DD73B7A" w:rsidR="7A979B27" w:rsidRDefault="7A979B27" w:rsidP="2FC6708B">
      <w:pPr>
        <w:spacing w:after="0" w:line="240" w:lineRule="auto"/>
        <w:rPr>
          <w:rFonts w:eastAsiaTheme="minorEastAsia"/>
          <w:color w:val="auto"/>
          <w:sz w:val="22"/>
        </w:rPr>
      </w:pPr>
      <w:r w:rsidRPr="2FC6708B">
        <w:rPr>
          <w:rFonts w:eastAsiaTheme="minorEastAsia"/>
          <w:color w:val="auto"/>
          <w:sz w:val="22"/>
        </w:rPr>
        <w:t xml:space="preserve">Tyson, O., Roberts, C., &amp; Kane, R. (2009). Can Implementation of a Resilience Program for Primary School Children Enhance the Mental Health of Teachers? </w:t>
      </w:r>
      <w:r w:rsidRPr="2FC6708B">
        <w:rPr>
          <w:rFonts w:eastAsiaTheme="minorEastAsia"/>
          <w:i/>
          <w:iCs/>
          <w:color w:val="auto"/>
          <w:sz w:val="22"/>
        </w:rPr>
        <w:t>Journal of Psychologists and Counsellors in Schools,</w:t>
      </w:r>
      <w:r w:rsidRPr="2FC6708B">
        <w:rPr>
          <w:rFonts w:eastAsiaTheme="minorEastAsia"/>
          <w:color w:val="auto"/>
          <w:sz w:val="22"/>
        </w:rPr>
        <w:t xml:space="preserve"> </w:t>
      </w:r>
      <w:r w:rsidRPr="2FC6708B">
        <w:rPr>
          <w:rFonts w:eastAsiaTheme="minorEastAsia"/>
          <w:i/>
          <w:iCs/>
          <w:color w:val="auto"/>
          <w:sz w:val="22"/>
        </w:rPr>
        <w:t>19</w:t>
      </w:r>
      <w:r w:rsidRPr="2FC6708B">
        <w:rPr>
          <w:rFonts w:eastAsiaTheme="minorEastAsia"/>
          <w:color w:val="auto"/>
          <w:sz w:val="22"/>
        </w:rPr>
        <w:t>(2), 116-130. doi:10.1375/ajgc.19.2.116</w:t>
      </w:r>
    </w:p>
    <w:p w14:paraId="7CCCFA55" w14:textId="7EFDB54E" w:rsidR="6999302B" w:rsidRDefault="6999302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1B3288BE" w14:textId="76CD0466" w:rsidR="0766984A" w:rsidRDefault="4BEC1163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32323"/>
          <w:sz w:val="22"/>
        </w:rPr>
        <w:t>Waters, L. (2011). A Review of School-Based Positive Psychology Interventions.</w:t>
      </w:r>
      <w:r w:rsidRPr="2FC6708B">
        <w:rPr>
          <w:rFonts w:eastAsiaTheme="minorEastAsia"/>
          <w:i/>
          <w:iCs/>
          <w:color w:val="232323"/>
          <w:sz w:val="22"/>
        </w:rPr>
        <w:t xml:space="preserve"> The Australian Educational and Developmental Psychologist</w:t>
      </w:r>
      <w:r w:rsidRPr="2FC6708B">
        <w:rPr>
          <w:rFonts w:eastAsiaTheme="minorEastAsia"/>
          <w:color w:val="232323"/>
          <w:sz w:val="22"/>
        </w:rPr>
        <w:t xml:space="preserve">, 28, 75-90. </w:t>
      </w:r>
      <w:hyperlink r:id="rId34">
        <w:r w:rsidRPr="2FC6708B">
          <w:rPr>
            <w:rStyle w:val="Hyperlink"/>
            <w:rFonts w:eastAsiaTheme="minorEastAsia"/>
            <w:sz w:val="22"/>
          </w:rPr>
          <w:t>http://dx.doi.org/10.1375/aedp.28.2.75</w:t>
        </w:r>
      </w:hyperlink>
    </w:p>
    <w:p w14:paraId="63D9DAFA" w14:textId="3763AD1B" w:rsidR="0766984A" w:rsidRDefault="0766984A" w:rsidP="2FC6708B">
      <w:pPr>
        <w:spacing w:after="0" w:line="240" w:lineRule="auto"/>
        <w:rPr>
          <w:rFonts w:ascii="Verdana" w:eastAsia="Verdana" w:hAnsi="Verdana" w:cs="Verdana"/>
          <w:color w:val="232323"/>
          <w:sz w:val="21"/>
          <w:szCs w:val="21"/>
        </w:rPr>
      </w:pPr>
    </w:p>
    <w:p w14:paraId="69FBEA69" w14:textId="7899FEB4" w:rsidR="0766984A" w:rsidRDefault="332AC284" w:rsidP="2FC6708B">
      <w:pPr>
        <w:spacing w:after="0" w:line="240" w:lineRule="auto"/>
        <w:rPr>
          <w:rFonts w:eastAsiaTheme="minorEastAsia"/>
          <w:sz w:val="22"/>
        </w:rPr>
      </w:pPr>
      <w:r w:rsidRPr="2FC6708B">
        <w:rPr>
          <w:rFonts w:eastAsiaTheme="minorEastAsia"/>
          <w:color w:val="212121"/>
          <w:sz w:val="22"/>
        </w:rPr>
        <w:t xml:space="preserve">Waters, S., Lester, L., &amp; Cross, D. (2014). How does support from peers compare with support from adults as students transition to secondary </w:t>
      </w:r>
      <w:proofErr w:type="gramStart"/>
      <w:r w:rsidRPr="2FC6708B">
        <w:rPr>
          <w:rFonts w:eastAsiaTheme="minorEastAsia"/>
          <w:color w:val="212121"/>
          <w:sz w:val="22"/>
        </w:rPr>
        <w:t>school?.</w:t>
      </w:r>
      <w:proofErr w:type="gramEnd"/>
      <w:r w:rsidRPr="2FC6708B">
        <w:rPr>
          <w:rFonts w:eastAsiaTheme="minorEastAsia"/>
          <w:color w:val="212121"/>
          <w:sz w:val="22"/>
        </w:rPr>
        <w:t xml:space="preserve"> </w:t>
      </w:r>
      <w:r w:rsidRPr="2FC6708B">
        <w:rPr>
          <w:rFonts w:eastAsiaTheme="minorEastAsia"/>
          <w:i/>
          <w:iCs/>
          <w:color w:val="212121"/>
          <w:sz w:val="22"/>
        </w:rPr>
        <w:t xml:space="preserve">The Journal of adolescent </w:t>
      </w:r>
      <w:proofErr w:type="gramStart"/>
      <w:r w:rsidRPr="2FC6708B">
        <w:rPr>
          <w:rFonts w:eastAsiaTheme="minorEastAsia"/>
          <w:i/>
          <w:iCs/>
          <w:color w:val="212121"/>
          <w:sz w:val="22"/>
        </w:rPr>
        <w:t>health :</w:t>
      </w:r>
      <w:proofErr w:type="gramEnd"/>
      <w:r w:rsidRPr="2FC6708B">
        <w:rPr>
          <w:rFonts w:eastAsiaTheme="minorEastAsia"/>
          <w:i/>
          <w:iCs/>
          <w:color w:val="212121"/>
          <w:sz w:val="22"/>
        </w:rPr>
        <w:t xml:space="preserve"> official publication of the Society for Adolescent Medicine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54</w:t>
      </w:r>
      <w:r w:rsidRPr="2FC6708B">
        <w:rPr>
          <w:rFonts w:eastAsiaTheme="minorEastAsia"/>
          <w:color w:val="212121"/>
          <w:sz w:val="22"/>
        </w:rPr>
        <w:t xml:space="preserve">(5), 543–549. </w:t>
      </w:r>
      <w:hyperlink r:id="rId35">
        <w:r w:rsidRPr="2FC6708B">
          <w:rPr>
            <w:rStyle w:val="Hyperlink"/>
            <w:rFonts w:eastAsiaTheme="minorEastAsia"/>
            <w:sz w:val="22"/>
          </w:rPr>
          <w:t>https://doi.org/10.1016/j.jadohealth.2013.10.012</w:t>
        </w:r>
      </w:hyperlink>
    </w:p>
    <w:p w14:paraId="7844FD8E" w14:textId="3E32EE8D" w:rsidR="0766984A" w:rsidRDefault="0766984A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C6E0273" w14:textId="40EC8F5A" w:rsidR="0766984A" w:rsidRDefault="0766984A" w:rsidP="2FC6708B">
      <w:pPr>
        <w:spacing w:after="0" w:line="240" w:lineRule="auto"/>
        <w:rPr>
          <w:rFonts w:eastAsiaTheme="minorEastAsia"/>
          <w:color w:val="auto"/>
          <w:sz w:val="22"/>
        </w:rPr>
      </w:pPr>
      <w:proofErr w:type="spellStart"/>
      <w:r w:rsidRPr="2FC6708B">
        <w:rPr>
          <w:rFonts w:eastAsiaTheme="minorEastAsia"/>
          <w:color w:val="auto"/>
          <w:sz w:val="22"/>
        </w:rPr>
        <w:t>Weare</w:t>
      </w:r>
      <w:proofErr w:type="spellEnd"/>
      <w:r w:rsidRPr="2FC6708B">
        <w:rPr>
          <w:rFonts w:eastAsiaTheme="minorEastAsia"/>
          <w:color w:val="auto"/>
          <w:sz w:val="22"/>
        </w:rPr>
        <w:t xml:space="preserve">, K. (2010). Mental health and social and emotional learning: Evidence, principles, tensions, balances. </w:t>
      </w:r>
      <w:r w:rsidRPr="2FC6708B">
        <w:rPr>
          <w:rFonts w:eastAsiaTheme="minorEastAsia"/>
          <w:i/>
          <w:iCs/>
          <w:color w:val="auto"/>
          <w:sz w:val="22"/>
        </w:rPr>
        <w:t>Advances in School Mental Health Promotion</w:t>
      </w:r>
      <w:r w:rsidRPr="2FC6708B">
        <w:rPr>
          <w:rFonts w:eastAsiaTheme="minorEastAsia"/>
          <w:color w:val="auto"/>
          <w:sz w:val="22"/>
        </w:rPr>
        <w:t xml:space="preserve">, 3(1), 5-17. </w:t>
      </w:r>
    </w:p>
    <w:p w14:paraId="3A6BECCB" w14:textId="77777777" w:rsidR="00DB49AB" w:rsidRDefault="00DB49AB" w:rsidP="2FC6708B">
      <w:pPr>
        <w:spacing w:after="0" w:line="240" w:lineRule="auto"/>
        <w:rPr>
          <w:rFonts w:eastAsiaTheme="minorEastAsia"/>
          <w:color w:val="auto"/>
          <w:sz w:val="22"/>
        </w:rPr>
      </w:pPr>
    </w:p>
    <w:p w14:paraId="202A8C5E" w14:textId="178B8CAF" w:rsidR="1BBB2197" w:rsidRDefault="1BBB2197" w:rsidP="2FC6708B">
      <w:pPr>
        <w:spacing w:after="0" w:line="240" w:lineRule="auto"/>
        <w:rPr>
          <w:rFonts w:eastAsiaTheme="minorEastAsia"/>
          <w:sz w:val="22"/>
        </w:rPr>
      </w:pPr>
      <w:proofErr w:type="spellStart"/>
      <w:r w:rsidRPr="2FC6708B">
        <w:rPr>
          <w:rFonts w:eastAsiaTheme="minorEastAsia"/>
          <w:color w:val="212121"/>
          <w:sz w:val="22"/>
        </w:rPr>
        <w:t>Weare</w:t>
      </w:r>
      <w:proofErr w:type="spellEnd"/>
      <w:r w:rsidRPr="2FC6708B">
        <w:rPr>
          <w:rFonts w:eastAsiaTheme="minorEastAsia"/>
          <w:color w:val="212121"/>
          <w:sz w:val="22"/>
        </w:rPr>
        <w:t xml:space="preserve">, K., &amp; </w:t>
      </w:r>
      <w:proofErr w:type="spellStart"/>
      <w:r w:rsidRPr="2FC6708B">
        <w:rPr>
          <w:rFonts w:eastAsiaTheme="minorEastAsia"/>
          <w:color w:val="212121"/>
          <w:sz w:val="22"/>
        </w:rPr>
        <w:t>Nind</w:t>
      </w:r>
      <w:proofErr w:type="spellEnd"/>
      <w:r w:rsidRPr="2FC6708B">
        <w:rPr>
          <w:rFonts w:eastAsiaTheme="minorEastAsia"/>
          <w:color w:val="212121"/>
          <w:sz w:val="22"/>
        </w:rPr>
        <w:t xml:space="preserve">, M. (2011). Mental health promotion and problem prevention in schools: what does the evidence </w:t>
      </w:r>
      <w:proofErr w:type="gramStart"/>
      <w:r w:rsidRPr="2FC6708B">
        <w:rPr>
          <w:rFonts w:eastAsiaTheme="minorEastAsia"/>
          <w:color w:val="212121"/>
          <w:sz w:val="22"/>
        </w:rPr>
        <w:t>say?.</w:t>
      </w:r>
      <w:proofErr w:type="gramEnd"/>
      <w:r w:rsidRPr="2FC6708B">
        <w:rPr>
          <w:rFonts w:eastAsiaTheme="minorEastAsia"/>
          <w:color w:val="212121"/>
          <w:sz w:val="22"/>
        </w:rPr>
        <w:t xml:space="preserve"> </w:t>
      </w:r>
      <w:r w:rsidRPr="2FC6708B">
        <w:rPr>
          <w:rFonts w:eastAsiaTheme="minorEastAsia"/>
          <w:i/>
          <w:iCs/>
          <w:color w:val="212121"/>
          <w:sz w:val="22"/>
        </w:rPr>
        <w:t>Health promotion international</w:t>
      </w:r>
      <w:r w:rsidRPr="2FC6708B">
        <w:rPr>
          <w:rFonts w:eastAsiaTheme="minorEastAsia"/>
          <w:color w:val="212121"/>
          <w:sz w:val="22"/>
        </w:rPr>
        <w:t xml:space="preserve">, </w:t>
      </w:r>
      <w:r w:rsidRPr="2FC6708B">
        <w:rPr>
          <w:rFonts w:eastAsiaTheme="minorEastAsia"/>
          <w:i/>
          <w:iCs/>
          <w:color w:val="212121"/>
          <w:sz w:val="22"/>
        </w:rPr>
        <w:t>26 Suppl 1</w:t>
      </w:r>
      <w:r w:rsidRPr="2FC6708B">
        <w:rPr>
          <w:rFonts w:eastAsiaTheme="minorEastAsia"/>
          <w:color w:val="212121"/>
          <w:sz w:val="22"/>
        </w:rPr>
        <w:t xml:space="preserve">, i29–i69. </w:t>
      </w:r>
      <w:hyperlink r:id="rId36">
        <w:r w:rsidRPr="2FC6708B">
          <w:rPr>
            <w:rStyle w:val="Hyperlink"/>
            <w:rFonts w:eastAsiaTheme="minorEastAsia"/>
            <w:sz w:val="22"/>
          </w:rPr>
          <w:t>https://doi.org/10.1093/heapro/dar075</w:t>
        </w:r>
      </w:hyperlink>
    </w:p>
    <w:p w14:paraId="3BED4DAB" w14:textId="246AC399" w:rsidR="2FC6708B" w:rsidRDefault="2FC6708B" w:rsidP="2FC6708B">
      <w:pPr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4C0235C7" w14:textId="77777777" w:rsidR="00B0095A" w:rsidRPr="006731C9" w:rsidRDefault="00B0095A" w:rsidP="2FC6708B">
      <w:pPr>
        <w:pStyle w:val="BodyText"/>
        <w:spacing w:after="0"/>
        <w:rPr>
          <w:rFonts w:ascii="Roboto Light" w:hAnsi="Roboto Light"/>
        </w:rPr>
      </w:pPr>
    </w:p>
    <w:p w14:paraId="0F29CC6E" w14:textId="56E30E6B" w:rsidR="26160C38" w:rsidRDefault="26160C38" w:rsidP="2FC6708B">
      <w:pPr>
        <w:pStyle w:val="BodyText"/>
        <w:spacing w:after="0"/>
        <w:rPr>
          <w:rFonts w:ascii="Roboto Light" w:hAnsi="Roboto Light"/>
        </w:rPr>
      </w:pPr>
    </w:p>
    <w:p w14:paraId="2C3F8822" w14:textId="48FC1860" w:rsidR="26160C38" w:rsidRDefault="26160C38" w:rsidP="26160C38">
      <w:pPr>
        <w:pStyle w:val="BodyText"/>
        <w:spacing w:after="0"/>
        <w:rPr>
          <w:rFonts w:ascii="Roboto Light" w:hAnsi="Roboto Light"/>
        </w:rPr>
      </w:pPr>
    </w:p>
    <w:p w14:paraId="595A3938" w14:textId="2FF6E587" w:rsidR="0C91EBAA" w:rsidRDefault="0C91EBAA"/>
    <w:p w14:paraId="28115F03" w14:textId="13E7B944" w:rsidR="26160C38" w:rsidRDefault="26160C38" w:rsidP="26160C38">
      <w:pPr>
        <w:pStyle w:val="BodyText"/>
        <w:spacing w:after="0"/>
        <w:rPr>
          <w:rFonts w:ascii="Roboto Light" w:hAnsi="Roboto Light"/>
        </w:rPr>
      </w:pPr>
    </w:p>
    <w:sectPr w:rsidR="26160C38" w:rsidSect="00EC42B7">
      <w:headerReference w:type="default" r:id="rId37"/>
      <w:footerReference w:type="default" r:id="rId38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E47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3848435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4E070BA7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panose1 w:val="02000503000000020004"/>
    <w:charset w:val="00"/>
    <w:family w:val="auto"/>
    <w:pitch w:val="variable"/>
    <w:sig w:usb0="800000A7" w:usb1="00000043" w:usb2="00000000" w:usb3="00000000" w:csb0="00000003" w:csb1="00000000"/>
  </w:font>
  <w:font w:name="Roboto Black">
    <w:altName w:val="Roboto Black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45701122" w:rsidR="00274F8A" w:rsidRPr="002B27B5" w:rsidRDefault="6999302B" w:rsidP="002B27B5">
    <w:pPr>
      <w:pStyle w:val="Footer"/>
    </w:pPr>
    <w:r>
      <w:t>Learning Resilience, Affirm</w:t>
    </w:r>
    <w:r w:rsidR="001F6803">
      <w:tab/>
    </w:r>
    <w:r>
      <w:t xml:space="preserve">Page </w:t>
    </w:r>
    <w:r w:rsidR="001F6803">
      <w:fldChar w:fldCharType="begin"/>
    </w:r>
    <w:r w:rsidR="001F6803">
      <w:instrText>PAGE   \* MERGEFORMAT</w:instrText>
    </w:r>
    <w:r w:rsidR="001F6803">
      <w:fldChar w:fldCharType="separate"/>
    </w:r>
    <w:r>
      <w:t>1</w:t>
    </w:r>
    <w:r w:rsidR="001F680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00C0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1FC9F65D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02BBB24A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04ABBC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 descr="Be You Professional 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e You Professional Lear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A9B56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784F"/>
    <w:rsid w:val="00532C38"/>
    <w:rsid w:val="005333DB"/>
    <w:rsid w:val="005348AA"/>
    <w:rsid w:val="00534C38"/>
    <w:rsid w:val="00545509"/>
    <w:rsid w:val="0054624C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8DEF1"/>
    <w:rsid w:val="00592275"/>
    <w:rsid w:val="00594496"/>
    <w:rsid w:val="00595C46"/>
    <w:rsid w:val="005A25E6"/>
    <w:rsid w:val="005A7B40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15F5"/>
    <w:rsid w:val="006F2D94"/>
    <w:rsid w:val="006F30D1"/>
    <w:rsid w:val="006F34D7"/>
    <w:rsid w:val="006F5C62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30101"/>
    <w:rsid w:val="00B32DC8"/>
    <w:rsid w:val="00B3307A"/>
    <w:rsid w:val="00B348DB"/>
    <w:rsid w:val="00B3749D"/>
    <w:rsid w:val="00B45B98"/>
    <w:rsid w:val="00B47547"/>
    <w:rsid w:val="00B500D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B66BB7"/>
    <w:rsid w:val="03523C18"/>
    <w:rsid w:val="035F4D84"/>
    <w:rsid w:val="04E0CBC6"/>
    <w:rsid w:val="06653B22"/>
    <w:rsid w:val="067C9C27"/>
    <w:rsid w:val="0766984A"/>
    <w:rsid w:val="07BE7A87"/>
    <w:rsid w:val="08186C88"/>
    <w:rsid w:val="095A4AE8"/>
    <w:rsid w:val="0C16FE7C"/>
    <w:rsid w:val="0C79EA2A"/>
    <w:rsid w:val="0C91EBAA"/>
    <w:rsid w:val="0DAFE998"/>
    <w:rsid w:val="0DBBCA1F"/>
    <w:rsid w:val="0FB18AEC"/>
    <w:rsid w:val="0FBDE310"/>
    <w:rsid w:val="0FF0C05F"/>
    <w:rsid w:val="108A99FE"/>
    <w:rsid w:val="10BA201E"/>
    <w:rsid w:val="1145D2FC"/>
    <w:rsid w:val="13C23AC0"/>
    <w:rsid w:val="1442FA78"/>
    <w:rsid w:val="155E0B21"/>
    <w:rsid w:val="1826D788"/>
    <w:rsid w:val="19BAED34"/>
    <w:rsid w:val="1BBB2197"/>
    <w:rsid w:val="1C97FB7A"/>
    <w:rsid w:val="1F1E7A6B"/>
    <w:rsid w:val="200E8E7D"/>
    <w:rsid w:val="2177A9F3"/>
    <w:rsid w:val="22E7ED83"/>
    <w:rsid w:val="238E73A3"/>
    <w:rsid w:val="24F7AB8E"/>
    <w:rsid w:val="24FBA79D"/>
    <w:rsid w:val="26160C38"/>
    <w:rsid w:val="267C6A40"/>
    <w:rsid w:val="267E4FA1"/>
    <w:rsid w:val="27F14A15"/>
    <w:rsid w:val="2B58E401"/>
    <w:rsid w:val="2CF53E97"/>
    <w:rsid w:val="2E4261CA"/>
    <w:rsid w:val="2E9E0E4B"/>
    <w:rsid w:val="2FC6708B"/>
    <w:rsid w:val="332AC284"/>
    <w:rsid w:val="35F618F0"/>
    <w:rsid w:val="3720946B"/>
    <w:rsid w:val="38E36E01"/>
    <w:rsid w:val="39DF8C78"/>
    <w:rsid w:val="3C64F5CD"/>
    <w:rsid w:val="3F83D2D9"/>
    <w:rsid w:val="3FA979E0"/>
    <w:rsid w:val="3FE17D3A"/>
    <w:rsid w:val="406A6AC9"/>
    <w:rsid w:val="412F18A4"/>
    <w:rsid w:val="414D9F55"/>
    <w:rsid w:val="431E892A"/>
    <w:rsid w:val="43725181"/>
    <w:rsid w:val="448FBA6C"/>
    <w:rsid w:val="45E99250"/>
    <w:rsid w:val="45F084A7"/>
    <w:rsid w:val="469E8026"/>
    <w:rsid w:val="46EA95F6"/>
    <w:rsid w:val="48866657"/>
    <w:rsid w:val="4ABCD28D"/>
    <w:rsid w:val="4BEC1163"/>
    <w:rsid w:val="4E80944F"/>
    <w:rsid w:val="4EF5A7DB"/>
    <w:rsid w:val="50B42B53"/>
    <w:rsid w:val="524FFBB4"/>
    <w:rsid w:val="52A1EE6C"/>
    <w:rsid w:val="52CFD1F8"/>
    <w:rsid w:val="53075D63"/>
    <w:rsid w:val="56032CB4"/>
    <w:rsid w:val="560772BA"/>
    <w:rsid w:val="5875B3BD"/>
    <w:rsid w:val="596DF3C7"/>
    <w:rsid w:val="5ADAE3DD"/>
    <w:rsid w:val="5CF51BEC"/>
    <w:rsid w:val="5CF72912"/>
    <w:rsid w:val="5DB629D0"/>
    <w:rsid w:val="5FAB5189"/>
    <w:rsid w:val="6288794C"/>
    <w:rsid w:val="6329EEA7"/>
    <w:rsid w:val="64D143EB"/>
    <w:rsid w:val="65CC1F21"/>
    <w:rsid w:val="68A73423"/>
    <w:rsid w:val="69273CAA"/>
    <w:rsid w:val="6999302B"/>
    <w:rsid w:val="69F05FFB"/>
    <w:rsid w:val="6A00B604"/>
    <w:rsid w:val="6BD55530"/>
    <w:rsid w:val="6CC74FD0"/>
    <w:rsid w:val="6D2800BD"/>
    <w:rsid w:val="71E24983"/>
    <w:rsid w:val="723AE3C1"/>
    <w:rsid w:val="7485DD52"/>
    <w:rsid w:val="75728483"/>
    <w:rsid w:val="773C12EF"/>
    <w:rsid w:val="77B26BBA"/>
    <w:rsid w:val="79AB59D1"/>
    <w:rsid w:val="7A979B27"/>
    <w:rsid w:val="7B3AA746"/>
    <w:rsid w:val="7BA9FA7A"/>
    <w:rsid w:val="7BCFC0E7"/>
    <w:rsid w:val="7BE1C607"/>
    <w:rsid w:val="7D47AFD3"/>
    <w:rsid w:val="7D7D9668"/>
    <w:rsid w:val="7E0666D3"/>
    <w:rsid w:val="7E7ECAF4"/>
    <w:rsid w:val="7F1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4F158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C0C57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4F1584"/>
    <w:rPr>
      <w:rFonts w:ascii="Roboto Medium" w:eastAsiaTheme="majorEastAsia" w:hAnsi="Roboto Medium" w:cstheme="majorHAnsi"/>
      <w:color w:val="009ADA" w:themeColor="text2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6C0C57"/>
    <w:rPr>
      <w:rFonts w:ascii="Roboto Medium" w:eastAsiaTheme="majorEastAsia" w:hAnsi="Roboto Medium" w:cstheme="majorHAnsi"/>
      <w:color w:val="009ADA" w:themeColor="text2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4F1584"/>
    <w:rPr>
      <w:color w:val="1955A6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sycnet.apa.org/doi/10.1177/0963721412471347" TargetMode="External"/><Relationship Id="rId18" Type="http://schemas.openxmlformats.org/officeDocument/2006/relationships/hyperlink" Target="https://www.verywellmind.com/what-is-self-concept-2795865" TargetMode="External"/><Relationship Id="rId26" Type="http://schemas.openxmlformats.org/officeDocument/2006/relationships/hyperlink" Target="https://doi.org/10.1038/3508150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sycnet.apa.org/doi/10.1037/bul0000383" TargetMode="External"/><Relationship Id="rId34" Type="http://schemas.openxmlformats.org/officeDocument/2006/relationships/hyperlink" Target="http://dx.doi.org/10.1375/aedp.28.2.75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circleofsecurityinternational.com" TargetMode="External"/><Relationship Id="rId25" Type="http://schemas.openxmlformats.org/officeDocument/2006/relationships/hyperlink" Target="https://doi.org/10.1111/obes.12095" TargetMode="External"/><Relationship Id="rId33" Type="http://schemas.openxmlformats.org/officeDocument/2006/relationships/hyperlink" Target="https://doi.org/10.1016/S0140-6736(12)60072-5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96/annals.1440.010" TargetMode="External"/><Relationship Id="rId20" Type="http://schemas.openxmlformats.org/officeDocument/2006/relationships/hyperlink" Target="https://www.education.gov.au/early-childhood/resources/continuity-learning-resource-support-effective-transition-school-and-school-age-care" TargetMode="External"/><Relationship Id="rId29" Type="http://schemas.openxmlformats.org/officeDocument/2006/relationships/hyperlink" Target="https://doi.org/10.1002/14651858.CD003380.pub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sycnet.apa.org/doi/10.1037/1089-2680.9.2.103" TargetMode="External"/><Relationship Id="rId32" Type="http://schemas.openxmlformats.org/officeDocument/2006/relationships/hyperlink" Target="https://doi.org/10.1111/j.1746-1561.2000.tb06468.x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i.org/10.1007/s10826-013-9784-4" TargetMode="External"/><Relationship Id="rId23" Type="http://schemas.openxmlformats.org/officeDocument/2006/relationships/hyperlink" Target="https://doi.org/10.1016/j.tics.2015.07.008" TargetMode="External"/><Relationship Id="rId28" Type="http://schemas.openxmlformats.org/officeDocument/2006/relationships/hyperlink" Target="https://doi.org/10.1186/s13612-015-0037-8" TargetMode="External"/><Relationship Id="rId36" Type="http://schemas.openxmlformats.org/officeDocument/2006/relationships/hyperlink" Target="https://doi.org/10.1093/heapro/dar07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asel.org/core-competencies/" TargetMode="External"/><Relationship Id="rId31" Type="http://schemas.openxmlformats.org/officeDocument/2006/relationships/hyperlink" Target="https://www.understood.org/en/articles/growth-minds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80/13676260801948387" TargetMode="External"/><Relationship Id="rId22" Type="http://schemas.openxmlformats.org/officeDocument/2006/relationships/hyperlink" Target="https://doi.org/10.1111/j.1467-8624.2010.01564.x" TargetMode="External"/><Relationship Id="rId27" Type="http://schemas.openxmlformats.org/officeDocument/2006/relationships/hyperlink" Target="https://doi.org/10.1192/bjp.bp.113.126649" TargetMode="External"/><Relationship Id="rId30" Type="http://schemas.openxmlformats.org/officeDocument/2006/relationships/hyperlink" Target="https://doi.org/10.1037/0033-2909.129.5.674" TargetMode="External"/><Relationship Id="rId35" Type="http://schemas.openxmlformats.org/officeDocument/2006/relationships/hyperlink" Target="https://doi.org/10.1016/j.jadohealth.2013.10.012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bc718d-719e-430b-8515-420126a2b6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C65AAB05BFF4EBB3164D44C3442DA" ma:contentTypeVersion="16" ma:contentTypeDescription="Create a new document." ma:contentTypeScope="" ma:versionID="447d9b87212bd5ebfdc762d0e1a0640a">
  <xsd:schema xmlns:xsd="http://www.w3.org/2001/XMLSchema" xmlns:xs="http://www.w3.org/2001/XMLSchema" xmlns:p="http://schemas.microsoft.com/office/2006/metadata/properties" xmlns:ns3="d4bc718d-719e-430b-8515-420126a2b6a7" xmlns:ns4="6bb05012-32c6-4182-9cdd-70b9f6985568" targetNamespace="http://schemas.microsoft.com/office/2006/metadata/properties" ma:root="true" ma:fieldsID="293953deac95c0d99116e20ac60e2f4f" ns3:_="" ns4:_="">
    <xsd:import namespace="d4bc718d-719e-430b-8515-420126a2b6a7"/>
    <xsd:import namespace="6bb05012-32c6-4182-9cdd-70b9f69855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718d-719e-430b-8515-420126a2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05012-32c6-4182-9cdd-70b9f6985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3CCDB4-586F-4843-B190-CF6C5591352D}">
  <ds:schemaRefs>
    <ds:schemaRef ds:uri="http://schemas.microsoft.com/office/2006/metadata/properties"/>
    <ds:schemaRef ds:uri="http://schemas.microsoft.com/office/infopath/2007/PartnerControls"/>
    <ds:schemaRef ds:uri="d4bc718d-719e-430b-8515-420126a2b6a7"/>
  </ds:schemaRefs>
</ds:datastoreItem>
</file>

<file path=customXml/itemProps2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AD7EB-3773-499E-94E4-E6FD0B5EF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c718d-719e-430b-8515-420126a2b6a7"/>
    <ds:schemaRef ds:uri="6bb05012-32c6-4182-9cdd-70b9f6985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7441</Characters>
  <Application>Microsoft Office Word</Application>
  <DocSecurity>2</DocSecurity>
  <Lines>62</Lines>
  <Paragraphs>17</Paragraphs>
  <ScaleCrop>false</ScaleCrop>
  <Company>Be You - Beyond Blue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Rebecca David</cp:lastModifiedBy>
  <cp:revision>2</cp:revision>
  <cp:lastPrinted>2023-04-19T19:24:00Z</cp:lastPrinted>
  <dcterms:created xsi:type="dcterms:W3CDTF">2023-11-10T03:50:00Z</dcterms:created>
  <dcterms:modified xsi:type="dcterms:W3CDTF">2023-11-10T03:50:00Z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0x010100D26C65AAB05BFF4EBB3164D44C3442DA</vt:lpwstr>
  </property>
</Properties>
</file>